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978335" w14:textId="77777777" w:rsidR="00645223" w:rsidRDefault="00645223" w:rsidP="0042158F">
      <w:pPr>
        <w:pStyle w:val="Heading1"/>
      </w:pPr>
      <w:bookmarkStart w:id="0" w:name="_Hlk484187549"/>
    </w:p>
    <w:p w14:paraId="2239D030" w14:textId="347AC2FF" w:rsidR="006C1C14" w:rsidRDefault="006C1C14" w:rsidP="0042158F">
      <w:pPr>
        <w:pStyle w:val="Heading1"/>
      </w:pPr>
      <w:r>
        <w:t>Specification</w:t>
      </w:r>
      <w:r w:rsidR="007579EE">
        <w:t xml:space="preserve">: </w:t>
      </w:r>
      <w:r w:rsidR="441EDAFD">
        <w:t>Merchant Payments</w:t>
      </w:r>
      <w:r w:rsidR="00DE75E6">
        <w:t xml:space="preserve"> </w:t>
      </w:r>
      <w:r w:rsidR="00DE75E6" w:rsidRPr="5B5472D7">
        <w:rPr>
          <w:rFonts w:cs="Arial"/>
        </w:rPr>
        <w:t>Working Group</w:t>
      </w:r>
    </w:p>
    <w:p w14:paraId="1EF49702" w14:textId="77777777" w:rsidR="006C1C14" w:rsidRDefault="006C1C14" w:rsidP="00537A94">
      <w:pPr>
        <w:pStyle w:val="Heading2"/>
      </w:pPr>
    </w:p>
    <w:p w14:paraId="57694364" w14:textId="77777777" w:rsidR="0012430E" w:rsidRPr="0012430E" w:rsidRDefault="0012430E" w:rsidP="0012430E"/>
    <w:p w14:paraId="2851EBD7" w14:textId="3584ECC4" w:rsidR="00C44058" w:rsidRPr="00C44058" w:rsidRDefault="00DE75E6" w:rsidP="00537A94">
      <w:pPr>
        <w:pStyle w:val="Heading2"/>
      </w:pPr>
      <w:r w:rsidRPr="00DE75E6">
        <w:rPr>
          <w:rFonts w:cs="Arial"/>
        </w:rPr>
        <w:t>Working Group</w:t>
      </w:r>
      <w:r w:rsidR="00F10BC4">
        <w:t xml:space="preserve"> Roles</w:t>
      </w:r>
    </w:p>
    <w:p w14:paraId="005F6282" w14:textId="77777777" w:rsidR="00537A94" w:rsidRDefault="00537A94" w:rsidP="00DE2695">
      <w:pPr>
        <w:spacing w:line="240" w:lineRule="auto"/>
        <w:rPr>
          <w:rFonts w:eastAsia="Times New Roman" w:cs="Calibri Light"/>
          <w:szCs w:val="20"/>
        </w:rPr>
      </w:pPr>
    </w:p>
    <w:p w14:paraId="41BE1712" w14:textId="77777777" w:rsidR="00DE2695" w:rsidRPr="00DE2695" w:rsidRDefault="00DE2695" w:rsidP="00DE2695">
      <w:pPr>
        <w:spacing w:line="240" w:lineRule="auto"/>
        <w:rPr>
          <w:rFonts w:eastAsia="Times New Roman" w:cs="Calibri Light"/>
          <w:szCs w:val="20"/>
        </w:rPr>
        <w:sectPr w:rsidR="00DE2695" w:rsidRPr="00DE2695" w:rsidSect="00537A94">
          <w:headerReference w:type="default" r:id="rId11"/>
          <w:footerReference w:type="default" r:id="rId12"/>
          <w:type w:val="continuous"/>
          <w:pgSz w:w="11900" w:h="16840"/>
          <w:pgMar w:top="1440" w:right="1800" w:bottom="1440" w:left="1276" w:header="0" w:footer="886" w:gutter="0"/>
          <w:cols w:space="708"/>
          <w:docGrid w:linePitch="360"/>
        </w:sectPr>
      </w:pPr>
    </w:p>
    <w:p w14:paraId="76B7EDDB" w14:textId="22C18095" w:rsidR="00DE75E6" w:rsidRDefault="00DE75E6" w:rsidP="5B5472D7">
      <w:pPr>
        <w:pStyle w:val="ListParagraph"/>
        <w:numPr>
          <w:ilvl w:val="0"/>
          <w:numId w:val="16"/>
        </w:numPr>
        <w:spacing w:line="240" w:lineRule="auto"/>
        <w:rPr>
          <w:rFonts w:eastAsia="Times New Roman" w:cs="Calibri Light"/>
        </w:rPr>
      </w:pPr>
      <w:r w:rsidRPr="49B77BC0">
        <w:rPr>
          <w:rFonts w:cs="Arial"/>
        </w:rPr>
        <w:t>Working Group</w:t>
      </w:r>
      <w:r w:rsidR="00F10BC4" w:rsidRPr="49B77BC0">
        <w:rPr>
          <w:rFonts w:eastAsia="Times New Roman" w:cs="Calibri Light"/>
        </w:rPr>
        <w:t xml:space="preserve"> Lead: </w:t>
      </w:r>
      <w:r w:rsidR="284FA924" w:rsidRPr="49B77BC0">
        <w:rPr>
          <w:rFonts w:eastAsia="Times New Roman" w:cs="Calibri Light"/>
        </w:rPr>
        <w:t xml:space="preserve">Matt </w:t>
      </w:r>
      <w:proofErr w:type="spellStart"/>
      <w:r w:rsidR="284FA924" w:rsidRPr="49B77BC0">
        <w:rPr>
          <w:rFonts w:eastAsia="Times New Roman" w:cs="Calibri Light"/>
        </w:rPr>
        <w:t>Simester</w:t>
      </w:r>
      <w:proofErr w:type="spellEnd"/>
      <w:r w:rsidR="284FA924" w:rsidRPr="49B77BC0">
        <w:rPr>
          <w:rFonts w:eastAsia="Times New Roman" w:cs="Calibri Light"/>
        </w:rPr>
        <w:t>, Managing Director, Piran Consulting &amp; Ambassador, The Payments Association</w:t>
      </w:r>
    </w:p>
    <w:p w14:paraId="0CBA20C1" w14:textId="3680739F" w:rsidR="00DE75E6" w:rsidRDefault="00DE75E6" w:rsidP="5B5472D7">
      <w:pPr>
        <w:pStyle w:val="ListParagraph"/>
        <w:numPr>
          <w:ilvl w:val="0"/>
          <w:numId w:val="16"/>
        </w:numPr>
        <w:spacing w:line="240" w:lineRule="auto"/>
        <w:rPr>
          <w:rFonts w:eastAsia="Times New Roman" w:cs="Calibri Light"/>
        </w:rPr>
      </w:pPr>
      <w:r w:rsidRPr="48BDB7BD">
        <w:rPr>
          <w:rFonts w:cs="Arial"/>
        </w:rPr>
        <w:t>Working Group</w:t>
      </w:r>
      <w:r w:rsidRPr="48BDB7BD">
        <w:rPr>
          <w:rFonts w:eastAsia="Times New Roman" w:cs="Calibri Light"/>
        </w:rPr>
        <w:t xml:space="preserve"> </w:t>
      </w:r>
      <w:r w:rsidR="00846D25" w:rsidRPr="48BDB7BD">
        <w:rPr>
          <w:rFonts w:eastAsia="Times New Roman" w:cs="Calibri Light"/>
        </w:rPr>
        <w:t xml:space="preserve">Mentor: </w:t>
      </w:r>
      <w:r w:rsidR="3F0791CC" w:rsidRPr="48BDB7BD">
        <w:rPr>
          <w:rFonts w:eastAsia="Times New Roman" w:cs="Calibri Light"/>
        </w:rPr>
        <w:t>XXXX</w:t>
      </w:r>
    </w:p>
    <w:p w14:paraId="5F0BCBA8" w14:textId="513427E0" w:rsidR="00537A94" w:rsidRPr="00C95152" w:rsidRDefault="00DE75E6" w:rsidP="00537A94">
      <w:pPr>
        <w:pStyle w:val="ListParagraph"/>
        <w:numPr>
          <w:ilvl w:val="0"/>
          <w:numId w:val="16"/>
        </w:numPr>
        <w:spacing w:line="240" w:lineRule="auto"/>
        <w:rPr>
          <w:rFonts w:eastAsia="Times New Roman" w:cs="Calibri Light"/>
          <w:szCs w:val="20"/>
        </w:rPr>
      </w:pPr>
      <w:r w:rsidRPr="5B5472D7">
        <w:rPr>
          <w:rFonts w:cs="Arial"/>
        </w:rPr>
        <w:t>Working Group</w:t>
      </w:r>
      <w:r w:rsidR="00E815F1" w:rsidRPr="5B5472D7">
        <w:rPr>
          <w:rFonts w:eastAsia="Times New Roman" w:cs="Calibri Light"/>
        </w:rPr>
        <w:t xml:space="preserve"> Manager: Tom Brewin</w:t>
      </w:r>
      <w:r w:rsidR="003208F0" w:rsidRPr="5B5472D7">
        <w:rPr>
          <w:rFonts w:eastAsia="Times New Roman" w:cs="Calibri Light"/>
        </w:rPr>
        <w:t xml:space="preserve"> </w:t>
      </w:r>
      <w:r w:rsidR="00A2123A">
        <w:rPr>
          <w:rFonts w:eastAsia="Times New Roman" w:cs="Calibri Light"/>
        </w:rPr>
        <w:t xml:space="preserve">- </w:t>
      </w:r>
      <w:r w:rsidR="003208F0" w:rsidRPr="5B5472D7">
        <w:rPr>
          <w:rFonts w:eastAsia="Times New Roman" w:cs="Calibri Light"/>
        </w:rPr>
        <w:t>Head of Projects, The Payments Association</w:t>
      </w:r>
    </w:p>
    <w:p w14:paraId="7E1762C1" w14:textId="77777777" w:rsidR="00C95152" w:rsidRDefault="00C95152" w:rsidP="00C95152">
      <w:pPr>
        <w:spacing w:line="240" w:lineRule="auto"/>
        <w:rPr>
          <w:rFonts w:eastAsia="Times New Roman" w:cs="Calibri Light"/>
          <w:szCs w:val="20"/>
        </w:rPr>
      </w:pPr>
    </w:p>
    <w:p w14:paraId="509EE46B" w14:textId="4F6746EE" w:rsidR="000B5A90" w:rsidRDefault="00C95152" w:rsidP="00D05ABE">
      <w:pPr>
        <w:pStyle w:val="Heading2"/>
      </w:pPr>
      <w:r>
        <w:t>Working Group Members</w:t>
      </w:r>
    </w:p>
    <w:p w14:paraId="4C805CD0" w14:textId="77777777" w:rsidR="00DE2695" w:rsidRPr="00DE2695" w:rsidRDefault="00DE2695" w:rsidP="00DE2695"/>
    <w:p w14:paraId="685491F9" w14:textId="77777777" w:rsidR="0061520A" w:rsidRDefault="004F24DF" w:rsidP="00624324">
      <w:pPr>
        <w:pStyle w:val="Heading3"/>
        <w:ind w:left="0"/>
      </w:pPr>
      <w:r w:rsidRPr="001E3DA1">
        <w:rPr>
          <w:rStyle w:val="Heading3Char"/>
        </w:rPr>
        <w:t>Committee</w:t>
      </w:r>
    </w:p>
    <w:p w14:paraId="5D06E36F" w14:textId="43115C16" w:rsidR="00105D15" w:rsidRPr="00105D15" w:rsidRDefault="00105D15" w:rsidP="00105D15">
      <w:pPr>
        <w:pStyle w:val="ListParagraph"/>
        <w:numPr>
          <w:ilvl w:val="0"/>
          <w:numId w:val="42"/>
        </w:numPr>
        <w:rPr>
          <w:lang w:val="en-US"/>
        </w:rPr>
      </w:pPr>
      <w:r w:rsidRPr="00105D15">
        <w:rPr>
          <w:lang w:val="en-US"/>
        </w:rPr>
        <w:t xml:space="preserve">The Committee will </w:t>
      </w:r>
      <w:proofErr w:type="spellStart"/>
      <w:r w:rsidRPr="00105D15">
        <w:rPr>
          <w:lang w:val="en-US"/>
        </w:rPr>
        <w:t>prioritise</w:t>
      </w:r>
      <w:proofErr w:type="spellEnd"/>
      <w:r w:rsidRPr="00105D15">
        <w:rPr>
          <w:lang w:val="en-US"/>
        </w:rPr>
        <w:t xml:space="preserve"> representation from merchants, while also including participants from the broader payments ecosystem to enable open and constructive dialogue.</w:t>
      </w:r>
    </w:p>
    <w:p w14:paraId="6C500A04" w14:textId="3A1FCB2B" w:rsidR="00105D15" w:rsidRPr="00105D15" w:rsidRDefault="00105D15" w:rsidP="00105D15">
      <w:pPr>
        <w:pStyle w:val="ListParagraph"/>
        <w:numPr>
          <w:ilvl w:val="0"/>
          <w:numId w:val="42"/>
        </w:numPr>
        <w:rPr>
          <w:lang w:val="en-US"/>
        </w:rPr>
      </w:pPr>
      <w:r w:rsidRPr="00105D15">
        <w:rPr>
          <w:lang w:val="en-US"/>
        </w:rPr>
        <w:t xml:space="preserve">All Committee members are expected to adhere to the </w:t>
      </w:r>
      <w:r w:rsidR="009C1117">
        <w:rPr>
          <w:lang w:val="en-US"/>
        </w:rPr>
        <w:t xml:space="preserve">Working </w:t>
      </w:r>
      <w:r w:rsidRPr="00105D15">
        <w:rPr>
          <w:lang w:val="en-US"/>
        </w:rPr>
        <w:t xml:space="preserve">Group’s </w:t>
      </w:r>
      <w:r w:rsidRPr="00105D15">
        <w:rPr>
          <w:i/>
          <w:iCs/>
          <w:lang w:val="en-US"/>
        </w:rPr>
        <w:t>Code of Conduct</w:t>
      </w:r>
      <w:r w:rsidRPr="00105D15">
        <w:rPr>
          <w:lang w:val="en-US"/>
        </w:rPr>
        <w:t>.</w:t>
      </w:r>
    </w:p>
    <w:p w14:paraId="559D1C7C" w14:textId="0A010797" w:rsidR="00105D15" w:rsidRPr="00105D15" w:rsidRDefault="00105D15" w:rsidP="00105D15">
      <w:pPr>
        <w:pStyle w:val="ListParagraph"/>
        <w:numPr>
          <w:ilvl w:val="0"/>
          <w:numId w:val="42"/>
        </w:numPr>
        <w:rPr>
          <w:lang w:val="en-US"/>
        </w:rPr>
      </w:pPr>
      <w:r w:rsidRPr="00105D15">
        <w:rPr>
          <w:lang w:val="en-US"/>
        </w:rPr>
        <w:t>A merchant-only Committee meeting will be held once per quarter.</w:t>
      </w:r>
    </w:p>
    <w:p w14:paraId="075AA395" w14:textId="4607CF3E" w:rsidR="00105D15" w:rsidRDefault="00105D15" w:rsidP="00105D15">
      <w:pPr>
        <w:pStyle w:val="ListParagraph"/>
        <w:numPr>
          <w:ilvl w:val="0"/>
          <w:numId w:val="42"/>
        </w:numPr>
        <w:rPr>
          <w:lang w:val="en-US"/>
        </w:rPr>
      </w:pPr>
      <w:r w:rsidRPr="00105D15">
        <w:rPr>
          <w:lang w:val="en-US"/>
        </w:rPr>
        <w:t>The Committee may set agendas in advance and extend invitations to relevant members with a specific interest in the topics to be discussed.</w:t>
      </w:r>
    </w:p>
    <w:p w14:paraId="53F4E2D3" w14:textId="77777777" w:rsidR="009C1117" w:rsidRPr="00105D15" w:rsidRDefault="009C1117" w:rsidP="009C1117">
      <w:pPr>
        <w:pStyle w:val="ListParagraph"/>
        <w:ind w:left="360"/>
        <w:rPr>
          <w:lang w:val="en-US"/>
        </w:rPr>
      </w:pPr>
    </w:p>
    <w:p w14:paraId="5FE33CB0" w14:textId="77777777" w:rsidR="0061520A" w:rsidRDefault="004F24DF" w:rsidP="00624324">
      <w:pPr>
        <w:pStyle w:val="Heading3"/>
        <w:ind w:left="0"/>
      </w:pPr>
      <w:r w:rsidRPr="0061520A">
        <w:t>Supporters</w:t>
      </w:r>
      <w:r>
        <w:t xml:space="preserve"> </w:t>
      </w:r>
    </w:p>
    <w:p w14:paraId="10311813" w14:textId="43081351" w:rsidR="000B5A90" w:rsidRPr="000B5A90" w:rsidRDefault="000B5A90" w:rsidP="000B5A90">
      <w:pPr>
        <w:pStyle w:val="ListParagraph"/>
        <w:numPr>
          <w:ilvl w:val="0"/>
          <w:numId w:val="45"/>
        </w:numPr>
        <w:spacing w:line="240" w:lineRule="auto"/>
        <w:rPr>
          <w:lang w:val="en-US"/>
        </w:rPr>
      </w:pPr>
      <w:r w:rsidRPr="000B5A90">
        <w:rPr>
          <w:lang w:val="en-US"/>
        </w:rPr>
        <w:t>Participation is open to all members of The Payments Association.</w:t>
      </w:r>
    </w:p>
    <w:p w14:paraId="46753A31" w14:textId="6E8DC5D9" w:rsidR="000B5A90" w:rsidRPr="000B5A90" w:rsidRDefault="000B5A90" w:rsidP="000B5A90">
      <w:pPr>
        <w:pStyle w:val="ListParagraph"/>
        <w:numPr>
          <w:ilvl w:val="0"/>
          <w:numId w:val="45"/>
        </w:numPr>
        <w:spacing w:line="240" w:lineRule="auto"/>
        <w:rPr>
          <w:lang w:val="en-US"/>
        </w:rPr>
      </w:pPr>
      <w:r w:rsidRPr="000B5A90">
        <w:rPr>
          <w:lang w:val="en-US"/>
        </w:rPr>
        <w:t xml:space="preserve">All Supporter members are also required to observe and uphold the </w:t>
      </w:r>
      <w:r w:rsidRPr="000B5A90">
        <w:rPr>
          <w:i/>
          <w:iCs/>
          <w:lang w:val="en-US"/>
        </w:rPr>
        <w:t>Code of Conduct</w:t>
      </w:r>
      <w:r w:rsidRPr="000B5A90">
        <w:rPr>
          <w:lang w:val="en-US"/>
        </w:rPr>
        <w:t>.</w:t>
      </w:r>
    </w:p>
    <w:p w14:paraId="7B8D82A2" w14:textId="26A98C5D" w:rsidR="5B5472D7" w:rsidRPr="0061520A" w:rsidRDefault="5B5472D7" w:rsidP="0061520A">
      <w:pPr>
        <w:spacing w:line="240" w:lineRule="auto"/>
        <w:rPr>
          <w:rFonts w:eastAsia="Times New Roman" w:cs="Calibri Light"/>
        </w:rPr>
        <w:sectPr w:rsidR="5B5472D7" w:rsidRPr="0061520A" w:rsidSect="00537A94">
          <w:type w:val="continuous"/>
          <w:pgSz w:w="11900" w:h="16840"/>
          <w:pgMar w:top="1440" w:right="1800" w:bottom="1440" w:left="1276" w:header="0" w:footer="886" w:gutter="0"/>
          <w:cols w:space="708"/>
          <w:docGrid w:linePitch="360"/>
        </w:sectPr>
      </w:pPr>
    </w:p>
    <w:p w14:paraId="1803EA7C" w14:textId="77777777" w:rsidR="00CF2E8B" w:rsidRDefault="00CF2E8B" w:rsidP="00C44058">
      <w:pPr>
        <w:spacing w:line="240" w:lineRule="auto"/>
        <w:rPr>
          <w:rFonts w:eastAsia="Times New Roman" w:cs="Calibri Light"/>
          <w:szCs w:val="20"/>
        </w:rPr>
        <w:sectPr w:rsidR="00CF2E8B" w:rsidSect="00CF2E8B">
          <w:type w:val="continuous"/>
          <w:pgSz w:w="11900" w:h="16840"/>
          <w:pgMar w:top="1440" w:right="1800" w:bottom="1440" w:left="1276" w:header="0" w:footer="886" w:gutter="0"/>
          <w:cols w:num="2" w:space="708"/>
          <w:docGrid w:linePitch="360"/>
        </w:sectPr>
      </w:pPr>
    </w:p>
    <w:p w14:paraId="720245D2" w14:textId="3835BD7B" w:rsidR="00F10BC4" w:rsidRDefault="00DE75E6" w:rsidP="00F10BC4">
      <w:pPr>
        <w:pStyle w:val="Heading2"/>
      </w:pPr>
      <w:r w:rsidRPr="48BDB7BD">
        <w:rPr>
          <w:rFonts w:cs="Arial"/>
        </w:rPr>
        <w:t>Working Group</w:t>
      </w:r>
      <w:r w:rsidR="00F10BC4">
        <w:t xml:space="preserve"> </w:t>
      </w:r>
      <w:r w:rsidR="00E1175F">
        <w:t>Purpose</w:t>
      </w:r>
    </w:p>
    <w:p w14:paraId="7E2A79EA" w14:textId="77777777" w:rsidR="00DE2695" w:rsidRPr="00DE2695" w:rsidRDefault="00DE2695" w:rsidP="00DE2695"/>
    <w:p w14:paraId="1C9E4B2E" w14:textId="2FB09358" w:rsidR="3802EFA1" w:rsidRDefault="3802EFA1" w:rsidP="5B5472D7">
      <w:pPr>
        <w:spacing w:line="240" w:lineRule="auto"/>
        <w:rPr>
          <w:rFonts w:eastAsia="Times New Roman" w:cs="Calibri Light"/>
        </w:rPr>
      </w:pPr>
      <w:r w:rsidRPr="5B5472D7">
        <w:rPr>
          <w:rFonts w:eastAsia="Times New Roman" w:cs="Calibri Light"/>
        </w:rPr>
        <w:t xml:space="preserve">The Merchant Payments Working Group will support </w:t>
      </w:r>
      <w:r w:rsidR="00442F1C">
        <w:rPr>
          <w:rFonts w:eastAsia="Times New Roman" w:cs="Calibri Light"/>
        </w:rPr>
        <w:t xml:space="preserve">merchants and </w:t>
      </w:r>
      <w:r w:rsidRPr="5B5472D7">
        <w:rPr>
          <w:rFonts w:eastAsia="Times New Roman" w:cs="Calibri Light"/>
        </w:rPr>
        <w:t xml:space="preserve">payments providers by identifying challenges and opportunities in the rapidly evolving merchant payments ecosystem. It will provide a structured forum to represent </w:t>
      </w:r>
      <w:r w:rsidR="009150BF">
        <w:rPr>
          <w:rFonts w:eastAsia="Times New Roman" w:cs="Calibri Light"/>
        </w:rPr>
        <w:t xml:space="preserve">the various </w:t>
      </w:r>
      <w:r w:rsidRPr="5B5472D7">
        <w:rPr>
          <w:rFonts w:eastAsia="Times New Roman" w:cs="Calibri Light"/>
        </w:rPr>
        <w:t>merchant needs</w:t>
      </w:r>
      <w:r w:rsidR="009150BF">
        <w:rPr>
          <w:rFonts w:eastAsia="Times New Roman" w:cs="Calibri Light"/>
        </w:rPr>
        <w:t xml:space="preserve"> and challenges</w:t>
      </w:r>
      <w:r w:rsidRPr="5B5472D7">
        <w:rPr>
          <w:rFonts w:eastAsia="Times New Roman" w:cs="Calibri Light"/>
        </w:rPr>
        <w:t>, promote innovation, and encourage the development of fair and future-proofed payments infrastructure, standards, and policies that benefit both merchants and the wider industry.</w:t>
      </w:r>
    </w:p>
    <w:p w14:paraId="3BD4065B" w14:textId="77777777" w:rsidR="00DF6191" w:rsidRPr="00F10BC4" w:rsidRDefault="00DF6191" w:rsidP="00F10BC4">
      <w:pPr>
        <w:spacing w:line="240" w:lineRule="auto"/>
        <w:rPr>
          <w:rFonts w:eastAsia="Times New Roman" w:cs="Calibri Light"/>
          <w:szCs w:val="20"/>
        </w:rPr>
      </w:pPr>
    </w:p>
    <w:p w14:paraId="5004AF9E" w14:textId="695910D6" w:rsidR="00F10BC4" w:rsidRDefault="00DE75E6" w:rsidP="00F10BC4">
      <w:pPr>
        <w:pStyle w:val="Heading2"/>
      </w:pPr>
      <w:r w:rsidRPr="0064488F">
        <w:rPr>
          <w:rFonts w:cs="Arial"/>
        </w:rPr>
        <w:t>Working Group</w:t>
      </w:r>
      <w:r>
        <w:t xml:space="preserve"> </w:t>
      </w:r>
      <w:r w:rsidR="00285B93">
        <w:t>Activities</w:t>
      </w:r>
    </w:p>
    <w:p w14:paraId="45A3F583" w14:textId="77777777" w:rsidR="00DE2695" w:rsidRPr="00DE2695" w:rsidRDefault="00DE2695" w:rsidP="00DE2695"/>
    <w:p w14:paraId="7A0E5A0D" w14:textId="30289FD8" w:rsidR="20E6A6F9" w:rsidRDefault="20E6A6F9" w:rsidP="5B5472D7">
      <w:pPr>
        <w:spacing w:line="240" w:lineRule="auto"/>
        <w:rPr>
          <w:rFonts w:eastAsia="Times New Roman" w:cs="Calibri Light"/>
        </w:rPr>
      </w:pPr>
      <w:r w:rsidRPr="5B5472D7">
        <w:rPr>
          <w:rFonts w:eastAsia="Arial" w:cs="Arial"/>
        </w:rPr>
        <w:t>The Working Group will define and maintain a list of prioritised initiatives aimed at delivering value to merchants and payments providers. These initiatives will be designed to:</w:t>
      </w:r>
    </w:p>
    <w:p w14:paraId="4E41096B" w14:textId="6102553A" w:rsidR="20E6A6F9" w:rsidRDefault="20E6A6F9" w:rsidP="5B5472D7">
      <w:pPr>
        <w:pStyle w:val="ListParagraph"/>
        <w:numPr>
          <w:ilvl w:val="0"/>
          <w:numId w:val="35"/>
        </w:numPr>
        <w:spacing w:before="240" w:after="240"/>
        <w:rPr>
          <w:rFonts w:eastAsia="Arial" w:cs="Arial"/>
        </w:rPr>
      </w:pPr>
      <w:r w:rsidRPr="5B5472D7">
        <w:rPr>
          <w:rFonts w:eastAsia="Arial" w:cs="Arial"/>
        </w:rPr>
        <w:t>Improve the payments experience for merchants and their customers</w:t>
      </w:r>
    </w:p>
    <w:p w14:paraId="0ED67E44" w14:textId="6CFB5CD4" w:rsidR="20E6A6F9" w:rsidRDefault="20E6A6F9" w:rsidP="5B5472D7">
      <w:pPr>
        <w:pStyle w:val="ListParagraph"/>
        <w:numPr>
          <w:ilvl w:val="0"/>
          <w:numId w:val="35"/>
        </w:numPr>
        <w:spacing w:before="240" w:after="240"/>
        <w:rPr>
          <w:rFonts w:eastAsia="Arial" w:cs="Arial"/>
        </w:rPr>
      </w:pPr>
      <w:r w:rsidRPr="5B5472D7">
        <w:rPr>
          <w:rFonts w:eastAsia="Arial" w:cs="Arial"/>
        </w:rPr>
        <w:t>Champion merchant voices in relevant regulatory, commercial, and policy forums</w:t>
      </w:r>
    </w:p>
    <w:p w14:paraId="44AC3A19" w14:textId="2F26439B" w:rsidR="20E6A6F9" w:rsidRDefault="20E6A6F9" w:rsidP="5B5472D7">
      <w:pPr>
        <w:pStyle w:val="ListParagraph"/>
        <w:numPr>
          <w:ilvl w:val="0"/>
          <w:numId w:val="35"/>
        </w:numPr>
        <w:spacing w:before="240" w:after="240"/>
        <w:rPr>
          <w:rFonts w:eastAsia="Arial" w:cs="Arial"/>
        </w:rPr>
      </w:pPr>
      <w:r w:rsidRPr="5B5472D7">
        <w:rPr>
          <w:rFonts w:eastAsia="Arial" w:cs="Arial"/>
        </w:rPr>
        <w:t>Drive clarity, transparency, and fairness in the acquiring and processing ecosystem</w:t>
      </w:r>
    </w:p>
    <w:p w14:paraId="3A429DBE" w14:textId="7C397ED3" w:rsidR="20E6A6F9" w:rsidRDefault="20E6A6F9" w:rsidP="5B5472D7">
      <w:pPr>
        <w:pStyle w:val="ListParagraph"/>
        <w:numPr>
          <w:ilvl w:val="0"/>
          <w:numId w:val="35"/>
        </w:numPr>
        <w:spacing w:before="240" w:after="240"/>
        <w:rPr>
          <w:rFonts w:eastAsia="Arial" w:cs="Arial"/>
        </w:rPr>
      </w:pPr>
      <w:r w:rsidRPr="5B5472D7">
        <w:rPr>
          <w:rFonts w:eastAsia="Arial" w:cs="Arial"/>
        </w:rPr>
        <w:lastRenderedPageBreak/>
        <w:t xml:space="preserve">Provide a platform for </w:t>
      </w:r>
      <w:r w:rsidR="18C8B970" w:rsidRPr="6249EB05">
        <w:rPr>
          <w:rFonts w:eastAsia="Arial" w:cs="Arial"/>
        </w:rPr>
        <w:t xml:space="preserve">merchant </w:t>
      </w:r>
      <w:r w:rsidRPr="5B5472D7">
        <w:rPr>
          <w:rFonts w:eastAsia="Arial" w:cs="Arial"/>
        </w:rPr>
        <w:t>members to share best practices, challenges, and innovations</w:t>
      </w:r>
    </w:p>
    <w:p w14:paraId="34D4BC86" w14:textId="1B6A8A08" w:rsidR="20E6A6F9" w:rsidRDefault="20E6A6F9" w:rsidP="5B5472D7">
      <w:pPr>
        <w:spacing w:before="240" w:after="240"/>
        <w:rPr>
          <w:rFonts w:eastAsia="Arial" w:cs="Arial"/>
        </w:rPr>
      </w:pPr>
      <w:r w:rsidRPr="5B5472D7">
        <w:rPr>
          <w:rFonts w:eastAsia="Arial" w:cs="Arial"/>
        </w:rPr>
        <w:t>Activities will be aligned with the following principles:</w:t>
      </w:r>
    </w:p>
    <w:p w14:paraId="4E252854" w14:textId="6B368073" w:rsidR="20E6A6F9" w:rsidRDefault="20E6A6F9" w:rsidP="5B5472D7">
      <w:pPr>
        <w:pStyle w:val="ListParagraph"/>
        <w:numPr>
          <w:ilvl w:val="0"/>
          <w:numId w:val="4"/>
        </w:numPr>
        <w:spacing w:before="240" w:after="240"/>
        <w:rPr>
          <w:rFonts w:eastAsia="Arial" w:cs="Arial"/>
        </w:rPr>
      </w:pPr>
      <w:r w:rsidRPr="5B5472D7">
        <w:rPr>
          <w:rFonts w:eastAsia="Arial" w:cs="Arial"/>
        </w:rPr>
        <w:t>Merchant needs will be central to all initiatives</w:t>
      </w:r>
    </w:p>
    <w:p w14:paraId="5A0CE73D" w14:textId="5DFFF25E" w:rsidR="20E6A6F9" w:rsidRDefault="20E6A6F9" w:rsidP="5B5472D7">
      <w:pPr>
        <w:pStyle w:val="ListParagraph"/>
        <w:numPr>
          <w:ilvl w:val="0"/>
          <w:numId w:val="4"/>
        </w:numPr>
        <w:spacing w:before="240" w:after="240"/>
        <w:rPr>
          <w:rFonts w:eastAsia="Arial" w:cs="Arial"/>
        </w:rPr>
      </w:pPr>
      <w:r w:rsidRPr="5B5472D7">
        <w:rPr>
          <w:rFonts w:eastAsia="Arial" w:cs="Arial"/>
        </w:rPr>
        <w:t>Initiatives will complement and not duplicate existing industry programmes</w:t>
      </w:r>
    </w:p>
    <w:p w14:paraId="1AF7E2EA" w14:textId="0F229F62" w:rsidR="20E6A6F9" w:rsidRDefault="20E6A6F9" w:rsidP="5B5472D7">
      <w:pPr>
        <w:pStyle w:val="ListParagraph"/>
        <w:numPr>
          <w:ilvl w:val="0"/>
          <w:numId w:val="4"/>
        </w:numPr>
        <w:spacing w:before="240" w:after="240"/>
        <w:rPr>
          <w:rFonts w:eastAsia="Arial" w:cs="Arial"/>
        </w:rPr>
      </w:pPr>
      <w:r w:rsidRPr="5B5472D7">
        <w:rPr>
          <w:rFonts w:eastAsia="Arial" w:cs="Arial"/>
        </w:rPr>
        <w:t>Outputs will provide actionable insights for both policy and product development</w:t>
      </w:r>
    </w:p>
    <w:p w14:paraId="3F303741" w14:textId="7BF2052E" w:rsidR="00CE034F" w:rsidRPr="00624324" w:rsidRDefault="20E6A6F9" w:rsidP="00624324">
      <w:pPr>
        <w:pStyle w:val="ListParagraph"/>
        <w:numPr>
          <w:ilvl w:val="0"/>
          <w:numId w:val="4"/>
        </w:numPr>
        <w:spacing w:before="240" w:after="240"/>
        <w:rPr>
          <w:rFonts w:eastAsia="Arial" w:cs="Arial"/>
        </w:rPr>
      </w:pPr>
      <w:r w:rsidRPr="5B5472D7">
        <w:rPr>
          <w:rFonts w:eastAsia="Arial" w:cs="Arial"/>
        </w:rPr>
        <w:t>Collaboration will be encouraged across the payments value chain</w:t>
      </w:r>
    </w:p>
    <w:p w14:paraId="3EAD8B31" w14:textId="511BC3CA" w:rsidR="00F10BC4" w:rsidRPr="00136300" w:rsidRDefault="00313A6E" w:rsidP="00606235">
      <w:pPr>
        <w:pStyle w:val="Heading3"/>
        <w:ind w:left="0"/>
      </w:pPr>
      <w:r w:rsidRPr="00136300">
        <w:t>Thought Leadership</w:t>
      </w:r>
    </w:p>
    <w:p w14:paraId="0A4082A7" w14:textId="1525A957" w:rsidR="47CFA2EB" w:rsidRDefault="47CFA2EB" w:rsidP="5B5472D7">
      <w:r w:rsidRPr="4AC10B96">
        <w:t>The Working Group will act as a centre of excellence on merchant payments, producing regular thought leadership to elevate awareness and spark debate on critical issues. This may include</w:t>
      </w:r>
      <w:r w:rsidR="00D57A6E">
        <w:t>,</w:t>
      </w:r>
      <w:r w:rsidR="210EDCC6" w:rsidRPr="4AC10B96">
        <w:t xml:space="preserve"> but is not limited to</w:t>
      </w:r>
      <w:r w:rsidRPr="4AC10B96">
        <w:t>:</w:t>
      </w:r>
    </w:p>
    <w:p w14:paraId="07EC35B7" w14:textId="7FFB315F" w:rsidR="005E3FB4" w:rsidRDefault="005E3FB4" w:rsidP="005E3FB4">
      <w:pPr>
        <w:pStyle w:val="ListParagraph"/>
        <w:numPr>
          <w:ilvl w:val="0"/>
          <w:numId w:val="47"/>
        </w:numPr>
        <w:spacing w:before="240" w:after="240"/>
      </w:pPr>
      <w:r>
        <w:t>Surveys and polls to capture member insights</w:t>
      </w:r>
      <w:r w:rsidR="00DE2695">
        <w:t xml:space="preserve"> and assess pain points</w:t>
      </w:r>
    </w:p>
    <w:p w14:paraId="6E59A79B" w14:textId="59DC61AE" w:rsidR="005E3FB4" w:rsidRDefault="005E3FB4" w:rsidP="005E3FB4">
      <w:pPr>
        <w:pStyle w:val="ListParagraph"/>
        <w:numPr>
          <w:ilvl w:val="0"/>
          <w:numId w:val="47"/>
        </w:numPr>
        <w:spacing w:before="240" w:after="240"/>
      </w:pPr>
      <w:r>
        <w:t>Insight reports featuring data analysis, case studies, and strategic</w:t>
      </w:r>
      <w:r w:rsidR="00DE2695">
        <w:t xml:space="preserve"> </w:t>
      </w:r>
      <w:r>
        <w:t>recommendations for industry stakeholders</w:t>
      </w:r>
    </w:p>
    <w:p w14:paraId="075A3FF5" w14:textId="1AACB2F2" w:rsidR="00C600DE" w:rsidRDefault="001737E7" w:rsidP="005E3FB4">
      <w:pPr>
        <w:pStyle w:val="ListParagraph"/>
        <w:numPr>
          <w:ilvl w:val="0"/>
          <w:numId w:val="47"/>
        </w:numPr>
        <w:spacing w:before="240" w:after="240"/>
      </w:pPr>
      <w:r>
        <w:t>O</w:t>
      </w:r>
      <w:r w:rsidR="00C600DE">
        <w:t>pinion pieces through TPA’s newsletters (</w:t>
      </w:r>
      <w:hyperlink r:id="rId13" w:history="1">
        <w:r w:rsidR="00C600DE" w:rsidRPr="00C600DE">
          <w:rPr>
            <w:rStyle w:val="Hyperlink"/>
          </w:rPr>
          <w:t>Payments Review</w:t>
        </w:r>
      </w:hyperlink>
      <w:r w:rsidR="00C600DE">
        <w:t xml:space="preserve"> and </w:t>
      </w:r>
      <w:hyperlink r:id="rId14" w:history="1">
        <w:r w:rsidR="00C600DE" w:rsidRPr="0056762E">
          <w:rPr>
            <w:rStyle w:val="Hyperlink"/>
          </w:rPr>
          <w:t>Payments Intelligence</w:t>
        </w:r>
      </w:hyperlink>
      <w:r w:rsidR="00C600DE">
        <w:t xml:space="preserve">) to encourage further awareness of </w:t>
      </w:r>
      <w:r>
        <w:t>the working groups’ perspectives on merchant payments</w:t>
      </w:r>
    </w:p>
    <w:p w14:paraId="3DF59E1E" w14:textId="322F7DEC" w:rsidR="005E3FB4" w:rsidRDefault="005E3FB4" w:rsidP="005E3FB4">
      <w:pPr>
        <w:pStyle w:val="ListParagraph"/>
        <w:numPr>
          <w:ilvl w:val="0"/>
          <w:numId w:val="47"/>
        </w:numPr>
        <w:spacing w:before="240" w:after="240"/>
      </w:pPr>
      <w:r>
        <w:t xml:space="preserve">Interactive roundtables, held virtually or in person, to facilitate dialogue </w:t>
      </w:r>
    </w:p>
    <w:p w14:paraId="5DAF70BE" w14:textId="15439AFA" w:rsidR="005E3FB4" w:rsidRDefault="005E3FB4" w:rsidP="005E3FB4">
      <w:pPr>
        <w:pStyle w:val="ListParagraph"/>
        <w:numPr>
          <w:ilvl w:val="0"/>
          <w:numId w:val="47"/>
        </w:numPr>
        <w:spacing w:before="240" w:after="240"/>
      </w:pPr>
      <w:r>
        <w:t>Bes</w:t>
      </w:r>
      <w:r w:rsidR="00BD046E">
        <w:t>t practice guides</w:t>
      </w:r>
      <w:r>
        <w:t xml:space="preserve"> to support improved </w:t>
      </w:r>
      <w:r w:rsidR="00BD046E">
        <w:t>operations</w:t>
      </w:r>
      <w:r>
        <w:t xml:space="preserve"> across the ecosystem</w:t>
      </w:r>
    </w:p>
    <w:p w14:paraId="0A35CD17" w14:textId="4A90371E" w:rsidR="005E3FB4" w:rsidRDefault="00BD046E" w:rsidP="005E3FB4">
      <w:pPr>
        <w:pStyle w:val="ListParagraph"/>
        <w:numPr>
          <w:ilvl w:val="0"/>
          <w:numId w:val="47"/>
        </w:numPr>
        <w:spacing w:before="240" w:after="240"/>
      </w:pPr>
      <w:r>
        <w:t>W</w:t>
      </w:r>
      <w:r w:rsidR="005E3FB4">
        <w:t>ebinars and podcasts to broaden reach and engagement</w:t>
      </w:r>
    </w:p>
    <w:p w14:paraId="2E169FEA" w14:textId="0D882050" w:rsidR="00972A93" w:rsidRDefault="00972A93" w:rsidP="5B5472D7">
      <w:pPr>
        <w:spacing w:before="240" w:after="240"/>
      </w:pPr>
      <w:r>
        <w:t xml:space="preserve">Key topics for thought-leadership </w:t>
      </w:r>
      <w:r w:rsidR="00855AE6">
        <w:t>may include, but is not limited to:</w:t>
      </w:r>
    </w:p>
    <w:p w14:paraId="3A548E13" w14:textId="0788403E" w:rsidR="00DB0C67" w:rsidRDefault="005C3C89" w:rsidP="005C3C89">
      <w:pPr>
        <w:pStyle w:val="ListParagraph"/>
        <w:numPr>
          <w:ilvl w:val="0"/>
          <w:numId w:val="46"/>
        </w:numPr>
        <w:spacing w:before="240" w:after="240"/>
      </w:pPr>
      <w:r>
        <w:t xml:space="preserve">Fraud and </w:t>
      </w:r>
      <w:r w:rsidR="00DB0C67">
        <w:t>c</w:t>
      </w:r>
      <w:r>
        <w:t xml:space="preserve">hargebacks: </w:t>
      </w:r>
      <w:r w:rsidR="00DB0C67">
        <w:t>a</w:t>
      </w:r>
      <w:r>
        <w:t>ddressing card-not-present fraud, first-party misuse (friendly fraud), unauthorised transactions, and subscription abuse</w:t>
      </w:r>
    </w:p>
    <w:p w14:paraId="3D6D8B2D" w14:textId="7082D277" w:rsidR="00DB0C67" w:rsidRDefault="005C3C89" w:rsidP="005C3C89">
      <w:pPr>
        <w:pStyle w:val="ListParagraph"/>
        <w:numPr>
          <w:ilvl w:val="0"/>
          <w:numId w:val="46"/>
        </w:numPr>
        <w:spacing w:before="240" w:after="240"/>
      </w:pPr>
      <w:r>
        <w:t>Cross</w:t>
      </w:r>
      <w:r w:rsidR="00DB0C67">
        <w:t xml:space="preserve"> border risk: t</w:t>
      </w:r>
      <w:r>
        <w:t>ackling fraud in international e-commerce and managing compliance across jurisdictions</w:t>
      </w:r>
    </w:p>
    <w:p w14:paraId="5087C560" w14:textId="6508A165" w:rsidR="00DB0C67" w:rsidRDefault="00DB0C67" w:rsidP="005C3C89">
      <w:pPr>
        <w:pStyle w:val="ListParagraph"/>
        <w:numPr>
          <w:ilvl w:val="0"/>
          <w:numId w:val="46"/>
        </w:numPr>
        <w:spacing w:before="240" w:after="240"/>
      </w:pPr>
      <w:r>
        <w:t>Modernising payments infrastructure</w:t>
      </w:r>
      <w:r w:rsidR="005C3C89">
        <w:t>: Upgrading systems to support new payment methods and growing transaction volumes</w:t>
      </w:r>
    </w:p>
    <w:p w14:paraId="2AF6BB4D" w14:textId="61BE56EF" w:rsidR="00DB0C67" w:rsidRDefault="00DB0C67" w:rsidP="005C3C89">
      <w:pPr>
        <w:pStyle w:val="ListParagraph"/>
        <w:numPr>
          <w:ilvl w:val="0"/>
          <w:numId w:val="46"/>
        </w:numPr>
        <w:spacing w:before="240" w:after="240"/>
      </w:pPr>
      <w:r>
        <w:t>Navigating regulatory changes:</w:t>
      </w:r>
      <w:r w:rsidR="005C3C89">
        <w:t xml:space="preserve"> responding to regulatory shifts (e.g. BNPL, scheme fee changes, PSD3)</w:t>
      </w:r>
    </w:p>
    <w:p w14:paraId="4C005AF7" w14:textId="57B10CCD" w:rsidR="00DB0C67" w:rsidRDefault="005C3C89" w:rsidP="005C3C89">
      <w:pPr>
        <w:pStyle w:val="ListParagraph"/>
        <w:numPr>
          <w:ilvl w:val="0"/>
          <w:numId w:val="46"/>
        </w:numPr>
        <w:spacing w:before="240" w:after="240"/>
      </w:pPr>
      <w:r>
        <w:t xml:space="preserve">Emerging </w:t>
      </w:r>
      <w:r w:rsidR="00DB0C67">
        <w:t>payment methods</w:t>
      </w:r>
      <w:r>
        <w:t xml:space="preserve">: </w:t>
      </w:r>
      <w:r w:rsidR="00DB0C67">
        <w:t>e</w:t>
      </w:r>
      <w:r>
        <w:t>valuating opportunities and risks of open banking, digital wallets, stablecoins, and alternative rails</w:t>
      </w:r>
    </w:p>
    <w:p w14:paraId="5B0685DA" w14:textId="7BF1D6C7" w:rsidR="00DB0C67" w:rsidRDefault="005C3C89" w:rsidP="005C3C89">
      <w:pPr>
        <w:pStyle w:val="ListParagraph"/>
        <w:numPr>
          <w:ilvl w:val="0"/>
          <w:numId w:val="46"/>
        </w:numPr>
        <w:spacing w:before="240" w:after="240"/>
      </w:pPr>
      <w:r>
        <w:t xml:space="preserve">Checkout </w:t>
      </w:r>
      <w:r w:rsidR="00DB0C67">
        <w:t>o</w:t>
      </w:r>
      <w:r>
        <w:t xml:space="preserve">ptimisation: </w:t>
      </w:r>
      <w:r w:rsidR="00DB0C67">
        <w:t>e</w:t>
      </w:r>
      <w:r>
        <w:t>nhancing conversion through payment UX, intelligent routing, and localisation strategies</w:t>
      </w:r>
    </w:p>
    <w:p w14:paraId="7B8CB075" w14:textId="68D1428A" w:rsidR="00DB0C67" w:rsidRDefault="005C3C89" w:rsidP="005C3C89">
      <w:pPr>
        <w:pStyle w:val="ListParagraph"/>
        <w:numPr>
          <w:ilvl w:val="0"/>
          <w:numId w:val="46"/>
        </w:numPr>
        <w:spacing w:before="240" w:after="240"/>
      </w:pPr>
      <w:r>
        <w:t xml:space="preserve">Data and </w:t>
      </w:r>
      <w:r w:rsidR="00DB0C67">
        <w:t>a</w:t>
      </w:r>
      <w:r>
        <w:t xml:space="preserve">nalytics: </w:t>
      </w:r>
      <w:r w:rsidR="00DB0C67">
        <w:t>l</w:t>
      </w:r>
      <w:r>
        <w:t>everaging payments data for customer insights, fraud prevention, and performance improvement</w:t>
      </w:r>
    </w:p>
    <w:p w14:paraId="2E59981E" w14:textId="07C9A40B" w:rsidR="00DB0C67" w:rsidRDefault="005C3C89" w:rsidP="005C3C89">
      <w:pPr>
        <w:pStyle w:val="ListParagraph"/>
        <w:numPr>
          <w:ilvl w:val="0"/>
          <w:numId w:val="46"/>
        </w:numPr>
        <w:spacing w:before="240" w:after="240"/>
      </w:pPr>
      <w:r>
        <w:t xml:space="preserve">Interchange and </w:t>
      </w:r>
      <w:r w:rsidR="00DB0C67">
        <w:t>s</w:t>
      </w:r>
      <w:r>
        <w:t xml:space="preserve">cheme </w:t>
      </w:r>
      <w:r w:rsidR="00DB0C67">
        <w:t>f</w:t>
      </w:r>
      <w:r>
        <w:t xml:space="preserve">ees: </w:t>
      </w:r>
      <w:r w:rsidR="00DB0C67">
        <w:t>u</w:t>
      </w:r>
      <w:r>
        <w:t>nderstanding fee structures and advocating for greater transparency and fairness</w:t>
      </w:r>
    </w:p>
    <w:p w14:paraId="770D0264" w14:textId="5F5A82D2" w:rsidR="47CFA2EB" w:rsidRDefault="47CFA2EB" w:rsidP="00DB0C67">
      <w:pPr>
        <w:spacing w:before="240" w:after="240"/>
      </w:pPr>
      <w:r w:rsidRPr="5B5472D7">
        <w:t>This thought leadership will position the Working Group as a respected voice in the discussion around modernising merchant payments.</w:t>
      </w:r>
    </w:p>
    <w:p w14:paraId="4C1813E1" w14:textId="01E166A7" w:rsidR="4AC10B96" w:rsidRDefault="033445F3" w:rsidP="00CF0A8C">
      <w:pPr>
        <w:pStyle w:val="Heading3"/>
        <w:ind w:left="0"/>
      </w:pPr>
      <w:r>
        <w:lastRenderedPageBreak/>
        <w:t>Delivering Merchant</w:t>
      </w:r>
      <w:r w:rsidR="003F1B8D">
        <w:t xml:space="preserve"> </w:t>
      </w:r>
      <w:r>
        <w:t>Transact</w:t>
      </w:r>
      <w:r w:rsidR="003F1B8D">
        <w:t xml:space="preserve"> </w:t>
      </w:r>
      <w:r>
        <w:t xml:space="preserve">360 </w:t>
      </w:r>
      <w:r w:rsidR="00D81F50">
        <w:t xml:space="preserve">at PAY360 </w:t>
      </w:r>
    </w:p>
    <w:p w14:paraId="66C75BC2" w14:textId="226B62BE" w:rsidR="00C44058" w:rsidRDefault="00F46882" w:rsidP="008B65D5">
      <w:pPr>
        <w:pStyle w:val="Heading4"/>
        <w:rPr>
          <w:rFonts w:eastAsiaTheme="minorHAnsi" w:cstheme="minorBidi"/>
          <w:b w:val="0"/>
          <w:i w:val="0"/>
          <w:iCs w:val="0"/>
        </w:rPr>
      </w:pPr>
      <w:r w:rsidRPr="00F46882">
        <w:rPr>
          <w:rFonts w:eastAsiaTheme="minorHAnsi" w:cstheme="minorBidi"/>
          <w:b w:val="0"/>
          <w:i w:val="0"/>
          <w:iCs w:val="0"/>
        </w:rPr>
        <w:t xml:space="preserve">The Merchant Payments Working Group will play a strategic </w:t>
      </w:r>
      <w:r w:rsidR="003F1B8D">
        <w:rPr>
          <w:rFonts w:eastAsiaTheme="minorHAnsi" w:cstheme="minorBidi"/>
          <w:b w:val="0"/>
          <w:i w:val="0"/>
          <w:iCs w:val="0"/>
        </w:rPr>
        <w:t>role</w:t>
      </w:r>
      <w:r w:rsidRPr="00F46882">
        <w:rPr>
          <w:rFonts w:eastAsiaTheme="minorHAnsi" w:cstheme="minorBidi"/>
          <w:b w:val="0"/>
          <w:i w:val="0"/>
          <w:iCs w:val="0"/>
        </w:rPr>
        <w:t xml:space="preserve"> in supporting </w:t>
      </w:r>
      <w:r w:rsidRPr="00F46882">
        <w:rPr>
          <w:rFonts w:eastAsiaTheme="minorHAnsi" w:cstheme="minorBidi"/>
          <w:b w:val="0"/>
          <w:bCs/>
          <w:i w:val="0"/>
          <w:iCs w:val="0"/>
        </w:rPr>
        <w:t>Merchant Transact360</w:t>
      </w:r>
      <w:r w:rsidRPr="00F46882">
        <w:rPr>
          <w:rFonts w:eastAsiaTheme="minorHAnsi" w:cstheme="minorBidi"/>
          <w:b w:val="0"/>
          <w:i w:val="0"/>
          <w:iCs w:val="0"/>
        </w:rPr>
        <w:t>, the new merchant-focused content stream at the</w:t>
      </w:r>
      <w:r w:rsidR="00D4051E">
        <w:rPr>
          <w:rFonts w:eastAsiaTheme="minorHAnsi" w:cstheme="minorBidi"/>
          <w:b w:val="0"/>
          <w:i w:val="0"/>
          <w:iCs w:val="0"/>
        </w:rPr>
        <w:t xml:space="preserve"> TPA’s</w:t>
      </w:r>
      <w:r w:rsidRPr="00F46882">
        <w:rPr>
          <w:rFonts w:eastAsiaTheme="minorHAnsi" w:cstheme="minorBidi"/>
          <w:b w:val="0"/>
          <w:i w:val="0"/>
          <w:iCs w:val="0"/>
        </w:rPr>
        <w:t xml:space="preserve"> </w:t>
      </w:r>
      <w:r w:rsidRPr="00F46882">
        <w:rPr>
          <w:rFonts w:eastAsiaTheme="minorHAnsi" w:cstheme="minorBidi"/>
          <w:b w:val="0"/>
          <w:bCs/>
          <w:i w:val="0"/>
          <w:iCs w:val="0"/>
        </w:rPr>
        <w:t>PAY360 conference in March 2026</w:t>
      </w:r>
      <w:r w:rsidRPr="00F46882">
        <w:rPr>
          <w:rFonts w:eastAsiaTheme="minorHAnsi" w:cstheme="minorBidi"/>
          <w:b w:val="0"/>
          <w:i w:val="0"/>
          <w:iCs w:val="0"/>
        </w:rPr>
        <w:t>. This initiative presents a major opportunity to elevate merchant voices and address the most pressing challenges and innovations in the merchant payments landscape.</w:t>
      </w:r>
      <w:r w:rsidR="00DC6904">
        <w:rPr>
          <w:rFonts w:eastAsiaTheme="minorHAnsi" w:cstheme="minorBidi"/>
          <w:b w:val="0"/>
          <w:i w:val="0"/>
          <w:iCs w:val="0"/>
        </w:rPr>
        <w:t xml:space="preserve"> This activity may</w:t>
      </w:r>
      <w:r w:rsidR="00645223">
        <w:rPr>
          <w:rFonts w:eastAsiaTheme="minorHAnsi" w:cstheme="minorBidi"/>
          <w:b w:val="0"/>
          <w:i w:val="0"/>
          <w:iCs w:val="0"/>
        </w:rPr>
        <w:t xml:space="preserve"> become the responsibility of a sub-group within the working group.</w:t>
      </w:r>
    </w:p>
    <w:p w14:paraId="2550390C" w14:textId="77777777" w:rsidR="00F46882" w:rsidRDefault="00F46882" w:rsidP="00F46882"/>
    <w:p w14:paraId="44D388BE" w14:textId="323B279C" w:rsidR="00F46882" w:rsidRPr="00F46882" w:rsidRDefault="00F46882" w:rsidP="00F46882">
      <w:pPr>
        <w:rPr>
          <w:lang w:val="en-US"/>
        </w:rPr>
      </w:pPr>
      <w:r w:rsidRPr="00F46882">
        <w:rPr>
          <w:lang w:val="en-US"/>
        </w:rPr>
        <w:t>The Working Group</w:t>
      </w:r>
      <w:r w:rsidR="00645223">
        <w:rPr>
          <w:lang w:val="en-US"/>
        </w:rPr>
        <w:t>/sub-group</w:t>
      </w:r>
      <w:r w:rsidRPr="00F46882">
        <w:rPr>
          <w:lang w:val="en-US"/>
        </w:rPr>
        <w:t xml:space="preserve"> will:</w:t>
      </w:r>
    </w:p>
    <w:p w14:paraId="0231B6BF" w14:textId="77777777" w:rsidR="00F46882" w:rsidRPr="002066C3" w:rsidRDefault="00F46882" w:rsidP="00855AE6">
      <w:pPr>
        <w:numPr>
          <w:ilvl w:val="0"/>
          <w:numId w:val="38"/>
        </w:numPr>
        <w:rPr>
          <w:lang w:val="en-US"/>
        </w:rPr>
      </w:pPr>
      <w:r w:rsidRPr="00F46882">
        <w:rPr>
          <w:lang w:val="en-US"/>
        </w:rPr>
        <w:t>Shape the Merchant Transact360 agenda</w:t>
      </w:r>
    </w:p>
    <w:p w14:paraId="6BB0AB2E" w14:textId="0AD18FB8" w:rsidR="00F46882" w:rsidRPr="002066C3" w:rsidRDefault="00F46882" w:rsidP="00855AE6">
      <w:pPr>
        <w:numPr>
          <w:ilvl w:val="0"/>
          <w:numId w:val="38"/>
        </w:numPr>
        <w:rPr>
          <w:lang w:val="en-US"/>
        </w:rPr>
      </w:pPr>
      <w:r w:rsidRPr="002066C3">
        <w:t>Curate speaker suggestions and content</w:t>
      </w:r>
    </w:p>
    <w:p w14:paraId="41D6163D" w14:textId="60E454F0" w:rsidR="00F46882" w:rsidRPr="002066C3" w:rsidRDefault="00F46882" w:rsidP="00855AE6">
      <w:pPr>
        <w:numPr>
          <w:ilvl w:val="0"/>
          <w:numId w:val="38"/>
        </w:numPr>
        <w:rPr>
          <w:lang w:val="en-US"/>
        </w:rPr>
      </w:pPr>
      <w:r w:rsidRPr="002066C3">
        <w:t>Promote merchant participation and visibility</w:t>
      </w:r>
    </w:p>
    <w:p w14:paraId="2DC07D47" w14:textId="3E85F7A8" w:rsidR="002066C3" w:rsidRPr="00F46882" w:rsidRDefault="002066C3" w:rsidP="00855AE6">
      <w:pPr>
        <w:numPr>
          <w:ilvl w:val="0"/>
          <w:numId w:val="38"/>
        </w:numPr>
        <w:rPr>
          <w:lang w:val="en-US"/>
        </w:rPr>
      </w:pPr>
      <w:r w:rsidRPr="002066C3">
        <w:t xml:space="preserve">Develop </w:t>
      </w:r>
      <w:r w:rsidR="00645223" w:rsidRPr="002066C3">
        <w:t>spotlight report/research</w:t>
      </w:r>
      <w:r w:rsidRPr="002066C3">
        <w:t xml:space="preserve"> for launch at PAY360</w:t>
      </w:r>
    </w:p>
    <w:p w14:paraId="7BA712AC" w14:textId="77777777" w:rsidR="00F46882" w:rsidRPr="00F46882" w:rsidRDefault="00F46882" w:rsidP="00F46882"/>
    <w:p w14:paraId="4500DD5F" w14:textId="79C3A96F" w:rsidR="00F8000F" w:rsidRPr="00B17FBE" w:rsidRDefault="004E6D6E" w:rsidP="5B5472D7">
      <w:pPr>
        <w:pStyle w:val="Heading3"/>
        <w:ind w:left="0"/>
      </w:pPr>
      <w:r w:rsidRPr="00136300">
        <w:t>Stakeholder Engagement</w:t>
      </w:r>
    </w:p>
    <w:p w14:paraId="316E5741" w14:textId="0B7BF16A" w:rsidR="00F8000F" w:rsidRPr="00B17FBE" w:rsidRDefault="47F3843F" w:rsidP="5B5472D7">
      <w:pPr>
        <w:rPr>
          <w:rFonts w:eastAsia="Arial" w:cs="Arial"/>
        </w:rPr>
      </w:pPr>
      <w:r w:rsidRPr="5B5472D7">
        <w:t>The Working Group will actively engage a broad set of stakeholders, including:</w:t>
      </w:r>
    </w:p>
    <w:p w14:paraId="3321B4FC" w14:textId="6120E32E" w:rsidR="00F8000F" w:rsidRPr="00B17FBE" w:rsidRDefault="47F3843F" w:rsidP="5B5472D7">
      <w:pPr>
        <w:spacing w:before="240" w:after="240"/>
      </w:pPr>
      <w:r w:rsidRPr="00BB0330">
        <w:rPr>
          <w:rStyle w:val="Heading4Char"/>
        </w:rPr>
        <w:t>Merchants:</w:t>
      </w:r>
      <w:r w:rsidR="00F8000F">
        <w:br/>
      </w:r>
      <w:r w:rsidRPr="5B5472D7">
        <w:rPr>
          <w:rFonts w:eastAsia="Arial" w:cs="Arial"/>
        </w:rPr>
        <w:t>Retailers, digital marketplaces, hospitality, transport, and other merchant verticals</w:t>
      </w:r>
    </w:p>
    <w:p w14:paraId="591DA6F1" w14:textId="2D68E449" w:rsidR="00F8000F" w:rsidRPr="00B17FBE" w:rsidRDefault="47F3843F" w:rsidP="5B5472D7">
      <w:pPr>
        <w:spacing w:before="240" w:after="240"/>
      </w:pPr>
      <w:r w:rsidRPr="00BB0330">
        <w:rPr>
          <w:rStyle w:val="Heading4Char"/>
        </w:rPr>
        <w:t>Payments Providers:</w:t>
      </w:r>
      <w:r w:rsidR="00F8000F">
        <w:br/>
      </w:r>
      <w:r w:rsidRPr="5B5472D7">
        <w:rPr>
          <w:rFonts w:eastAsia="Arial" w:cs="Arial"/>
        </w:rPr>
        <w:t>Acquirers, PSPs, ISOs, payment orchestration platforms, and card schemes</w:t>
      </w:r>
    </w:p>
    <w:p w14:paraId="4E6C1417" w14:textId="7501C12F" w:rsidR="00F8000F" w:rsidRPr="00B17FBE" w:rsidRDefault="47F3843F" w:rsidP="00BB0330">
      <w:pPr>
        <w:pStyle w:val="Heading4"/>
        <w:spacing w:before="0"/>
      </w:pPr>
      <w:r w:rsidRPr="5B5472D7">
        <w:t>Industry Bodies and Policy Makers:</w:t>
      </w:r>
    </w:p>
    <w:p w14:paraId="58590A48" w14:textId="02F755B3" w:rsidR="00F8000F" w:rsidRPr="00B17FBE" w:rsidRDefault="47F3843F" w:rsidP="00BB0330">
      <w:pPr>
        <w:pStyle w:val="ListParagraph"/>
        <w:numPr>
          <w:ilvl w:val="0"/>
          <w:numId w:val="2"/>
        </w:numPr>
        <w:spacing w:after="240"/>
        <w:rPr>
          <w:rFonts w:eastAsia="Arial" w:cs="Arial"/>
        </w:rPr>
      </w:pPr>
      <w:r w:rsidRPr="5B5472D7">
        <w:rPr>
          <w:rFonts w:eastAsia="Arial" w:cs="Arial"/>
        </w:rPr>
        <w:t>HM Treasury</w:t>
      </w:r>
    </w:p>
    <w:p w14:paraId="4731DC92" w14:textId="0E231B8C" w:rsidR="00F8000F" w:rsidRPr="00B17FBE" w:rsidRDefault="47F3843F" w:rsidP="00BB0330">
      <w:pPr>
        <w:pStyle w:val="ListParagraph"/>
        <w:numPr>
          <w:ilvl w:val="0"/>
          <w:numId w:val="2"/>
        </w:numPr>
        <w:spacing w:after="240"/>
        <w:rPr>
          <w:rFonts w:eastAsia="Arial" w:cs="Arial"/>
        </w:rPr>
      </w:pPr>
      <w:r w:rsidRPr="5B5472D7">
        <w:rPr>
          <w:rFonts w:eastAsia="Arial" w:cs="Arial"/>
        </w:rPr>
        <w:t>Payment Systems Regulator (PSR)</w:t>
      </w:r>
    </w:p>
    <w:p w14:paraId="1AC61308" w14:textId="02F6FD41" w:rsidR="00F8000F" w:rsidRPr="00B17FBE" w:rsidRDefault="47F3843F" w:rsidP="00BB0330">
      <w:pPr>
        <w:pStyle w:val="ListParagraph"/>
        <w:numPr>
          <w:ilvl w:val="0"/>
          <w:numId w:val="2"/>
        </w:numPr>
        <w:spacing w:after="240"/>
        <w:rPr>
          <w:rFonts w:eastAsia="Arial" w:cs="Arial"/>
        </w:rPr>
      </w:pPr>
      <w:r w:rsidRPr="5B5472D7">
        <w:rPr>
          <w:rFonts w:eastAsia="Arial" w:cs="Arial"/>
        </w:rPr>
        <w:t>Financial Conduct Authority (FCA)</w:t>
      </w:r>
    </w:p>
    <w:p w14:paraId="4A9DB090" w14:textId="39C68AE1" w:rsidR="00F8000F" w:rsidRPr="00D9080C" w:rsidRDefault="47F3843F" w:rsidP="00BB0330">
      <w:pPr>
        <w:pStyle w:val="ListParagraph"/>
        <w:numPr>
          <w:ilvl w:val="0"/>
          <w:numId w:val="2"/>
        </w:numPr>
        <w:spacing w:after="240"/>
        <w:rPr>
          <w:rFonts w:eastAsia="Arial" w:cs="Arial"/>
        </w:rPr>
      </w:pPr>
      <w:r w:rsidRPr="5B5472D7">
        <w:rPr>
          <w:rFonts w:eastAsia="Arial" w:cs="Arial"/>
        </w:rPr>
        <w:t>Pay.UK</w:t>
      </w:r>
    </w:p>
    <w:p w14:paraId="34468FA1" w14:textId="588EC2B5" w:rsidR="00F8000F" w:rsidRPr="00B17FBE" w:rsidRDefault="47F3843F" w:rsidP="00BB0330">
      <w:pPr>
        <w:pStyle w:val="ListParagraph"/>
        <w:numPr>
          <w:ilvl w:val="0"/>
          <w:numId w:val="2"/>
        </w:numPr>
        <w:spacing w:after="240"/>
        <w:rPr>
          <w:rFonts w:eastAsia="Arial" w:cs="Arial"/>
        </w:rPr>
      </w:pPr>
      <w:r w:rsidRPr="5B5472D7">
        <w:rPr>
          <w:rFonts w:eastAsia="Arial" w:cs="Arial"/>
        </w:rPr>
        <w:t>UK Finance</w:t>
      </w:r>
    </w:p>
    <w:p w14:paraId="4A9161FE" w14:textId="59B1B0F8" w:rsidR="00F8000F" w:rsidRPr="00B17FBE" w:rsidRDefault="47F3843F" w:rsidP="00BB0330">
      <w:pPr>
        <w:pStyle w:val="ListParagraph"/>
        <w:numPr>
          <w:ilvl w:val="0"/>
          <w:numId w:val="2"/>
        </w:numPr>
        <w:spacing w:after="240"/>
        <w:rPr>
          <w:rFonts w:eastAsia="Arial" w:cs="Arial"/>
        </w:rPr>
      </w:pPr>
      <w:r w:rsidRPr="5B5472D7">
        <w:rPr>
          <w:rFonts w:eastAsia="Arial" w:cs="Arial"/>
        </w:rPr>
        <w:t>Innovate Finance</w:t>
      </w:r>
    </w:p>
    <w:p w14:paraId="37CF16BA" w14:textId="021728B7" w:rsidR="00F8000F" w:rsidRPr="00B17FBE" w:rsidRDefault="47F3843F" w:rsidP="00BB0330">
      <w:pPr>
        <w:pStyle w:val="ListParagraph"/>
        <w:numPr>
          <w:ilvl w:val="0"/>
          <w:numId w:val="2"/>
        </w:numPr>
        <w:spacing w:after="240"/>
        <w:rPr>
          <w:rFonts w:eastAsia="Arial" w:cs="Arial"/>
        </w:rPr>
      </w:pPr>
      <w:r w:rsidRPr="5B5472D7">
        <w:rPr>
          <w:rFonts w:eastAsia="Arial" w:cs="Arial"/>
        </w:rPr>
        <w:t>Retail and SME trade associations</w:t>
      </w:r>
      <w:r w:rsidR="00D9080C">
        <w:rPr>
          <w:rFonts w:eastAsia="Arial" w:cs="Arial"/>
        </w:rPr>
        <w:t xml:space="preserve"> (e.g. </w:t>
      </w:r>
      <w:r w:rsidR="0000095D">
        <w:rPr>
          <w:rFonts w:eastAsia="Arial" w:cs="Arial"/>
        </w:rPr>
        <w:t>the British Retail Consortium</w:t>
      </w:r>
      <w:r w:rsidR="00D9080C">
        <w:rPr>
          <w:rFonts w:eastAsia="Arial" w:cs="Arial"/>
        </w:rPr>
        <w:t>)</w:t>
      </w:r>
    </w:p>
    <w:p w14:paraId="0065329A" w14:textId="47EDE617" w:rsidR="00C1167A" w:rsidRPr="00845A23" w:rsidRDefault="16800662" w:rsidP="5B5472D7">
      <w:r w:rsidRPr="5B5472D7">
        <w:t>The Working Group will respond to consultations and issue position papers on regulatory and market developments that impact merchant payments, such as:</w:t>
      </w:r>
    </w:p>
    <w:p w14:paraId="31A5F613" w14:textId="104D1091" w:rsidR="00C1167A" w:rsidRPr="00845A23" w:rsidRDefault="16800662" w:rsidP="5B5472D7">
      <w:pPr>
        <w:pStyle w:val="ListParagraph"/>
        <w:numPr>
          <w:ilvl w:val="0"/>
          <w:numId w:val="1"/>
        </w:numPr>
        <w:spacing w:before="240" w:after="240" w:line="240" w:lineRule="auto"/>
        <w:rPr>
          <w:rFonts w:eastAsia="Arial" w:cs="Arial"/>
        </w:rPr>
      </w:pPr>
      <w:r w:rsidRPr="5B5472D7">
        <w:rPr>
          <w:rFonts w:eastAsia="Arial" w:cs="Arial"/>
        </w:rPr>
        <w:t>Interchange and scheme fees</w:t>
      </w:r>
    </w:p>
    <w:p w14:paraId="3C341317" w14:textId="4E75A285" w:rsidR="00C1167A" w:rsidRPr="00845A23" w:rsidRDefault="16800662" w:rsidP="5B5472D7">
      <w:pPr>
        <w:pStyle w:val="ListParagraph"/>
        <w:numPr>
          <w:ilvl w:val="0"/>
          <w:numId w:val="1"/>
        </w:numPr>
        <w:spacing w:before="240" w:after="240" w:line="240" w:lineRule="auto"/>
        <w:rPr>
          <w:rFonts w:eastAsia="Arial" w:cs="Arial"/>
        </w:rPr>
      </w:pPr>
      <w:r w:rsidRPr="5B5472D7">
        <w:rPr>
          <w:rFonts w:eastAsia="Arial" w:cs="Arial"/>
        </w:rPr>
        <w:t>Terminal infrastructure access and pricing</w:t>
      </w:r>
    </w:p>
    <w:p w14:paraId="21164E9F" w14:textId="3E20E22B" w:rsidR="00C1167A" w:rsidRPr="00845A23" w:rsidRDefault="16800662" w:rsidP="5B5472D7">
      <w:pPr>
        <w:pStyle w:val="ListParagraph"/>
        <w:numPr>
          <w:ilvl w:val="0"/>
          <w:numId w:val="1"/>
        </w:numPr>
        <w:spacing w:before="240" w:after="240" w:line="240" w:lineRule="auto"/>
        <w:rPr>
          <w:rFonts w:eastAsia="Arial" w:cs="Arial"/>
        </w:rPr>
      </w:pPr>
      <w:r w:rsidRPr="5B5472D7">
        <w:rPr>
          <w:rFonts w:eastAsia="Arial" w:cs="Arial"/>
        </w:rPr>
        <w:t>Alternative payment methods</w:t>
      </w:r>
    </w:p>
    <w:p w14:paraId="7A7A402F" w14:textId="38A8DCF0" w:rsidR="00C1167A" w:rsidRPr="00845A23" w:rsidRDefault="16800662" w:rsidP="5B5472D7">
      <w:pPr>
        <w:pStyle w:val="ListParagraph"/>
        <w:numPr>
          <w:ilvl w:val="0"/>
          <w:numId w:val="1"/>
        </w:numPr>
        <w:spacing w:before="240" w:after="240" w:line="240" w:lineRule="auto"/>
        <w:rPr>
          <w:rFonts w:eastAsia="Arial" w:cs="Arial"/>
        </w:rPr>
      </w:pPr>
      <w:r w:rsidRPr="5B5472D7">
        <w:rPr>
          <w:rFonts w:eastAsia="Arial" w:cs="Arial"/>
        </w:rPr>
        <w:t>Open Banking and open finance enablement</w:t>
      </w:r>
    </w:p>
    <w:p w14:paraId="51A4E52A" w14:textId="41AB6382" w:rsidR="00C1167A" w:rsidRPr="00845A23" w:rsidRDefault="16800662" w:rsidP="5B5472D7">
      <w:pPr>
        <w:pStyle w:val="ListParagraph"/>
        <w:numPr>
          <w:ilvl w:val="0"/>
          <w:numId w:val="1"/>
        </w:numPr>
        <w:spacing w:before="240" w:after="240" w:line="240" w:lineRule="auto"/>
        <w:rPr>
          <w:rFonts w:eastAsia="Arial" w:cs="Arial"/>
        </w:rPr>
      </w:pPr>
      <w:r w:rsidRPr="5B5472D7">
        <w:rPr>
          <w:rFonts w:eastAsia="Arial" w:cs="Arial"/>
        </w:rPr>
        <w:t>SME access to digital payments</w:t>
      </w:r>
    </w:p>
    <w:p w14:paraId="5464D1F9" w14:textId="36FA4D45" w:rsidR="00C1167A" w:rsidRPr="00845A23" w:rsidRDefault="16800662" w:rsidP="5B5472D7">
      <w:pPr>
        <w:spacing w:before="240" w:after="240" w:line="240" w:lineRule="auto"/>
      </w:pPr>
      <w:r w:rsidRPr="5B5472D7">
        <w:rPr>
          <w:rFonts w:eastAsia="Arial" w:cs="Arial"/>
        </w:rPr>
        <w:t>These responses will reflect the views of both merchants and the payment providers that serve them, helping shape a more balanced ecosystem.</w:t>
      </w:r>
    </w:p>
    <w:bookmarkEnd w:id="0"/>
    <w:p w14:paraId="382E0193" w14:textId="64F13CF4" w:rsidR="00C14AB3" w:rsidRDefault="00C838CF" w:rsidP="003462A9">
      <w:pPr>
        <w:pStyle w:val="Heading2"/>
      </w:pPr>
      <w:r w:rsidRPr="5B5472D7">
        <w:rPr>
          <w:rFonts w:cs="Arial"/>
        </w:rPr>
        <w:t>Working Group</w:t>
      </w:r>
      <w:r w:rsidRPr="5B5472D7">
        <w:rPr>
          <w:rFonts w:eastAsia="Times New Roman" w:cs="Calibri Light"/>
        </w:rPr>
        <w:t xml:space="preserve"> </w:t>
      </w:r>
      <w:r w:rsidR="00C14AB3">
        <w:t>Budget</w:t>
      </w:r>
    </w:p>
    <w:p w14:paraId="4B1EECC6" w14:textId="77777777" w:rsidR="00DE2695" w:rsidRPr="00DE2695" w:rsidRDefault="00DE2695" w:rsidP="00DE2695"/>
    <w:p w14:paraId="0C18C83A" w14:textId="7FB17DD0" w:rsidR="10C5CF2E" w:rsidRDefault="10C5CF2E" w:rsidP="5B5472D7">
      <w:pPr>
        <w:spacing w:before="22" w:line="240" w:lineRule="auto"/>
        <w:ind w:right="605"/>
      </w:pPr>
      <w:r w:rsidRPr="5B5472D7">
        <w:rPr>
          <w:rFonts w:eastAsia="Arial" w:cs="Arial"/>
        </w:rPr>
        <w:t>The Merchant Payments Working Group will be seeking funding from the TPA community. Any expenditure will require sign-off by the Project Mentor in conjunction with the Project Lead and Project Manager.</w:t>
      </w:r>
    </w:p>
    <w:p w14:paraId="73EA1A60" w14:textId="77777777" w:rsidR="00C14AB3" w:rsidRPr="00C14AB3" w:rsidRDefault="00C14AB3" w:rsidP="00E67F76">
      <w:pPr>
        <w:spacing w:line="240" w:lineRule="auto"/>
        <w:ind w:left="117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7702D7FF" w14:textId="355EC214" w:rsidR="00C14AB3" w:rsidRDefault="00C14AB3" w:rsidP="003462A9">
      <w:pPr>
        <w:pStyle w:val="Heading2"/>
        <w:rPr>
          <w:lang w:eastAsia="en-GB"/>
        </w:rPr>
      </w:pPr>
      <w:r w:rsidRPr="00C14AB3">
        <w:rPr>
          <w:lang w:eastAsia="en-GB"/>
        </w:rPr>
        <w:lastRenderedPageBreak/>
        <w:t xml:space="preserve">Note on </w:t>
      </w:r>
      <w:r w:rsidR="00C838CF" w:rsidRPr="00C838CF">
        <w:rPr>
          <w:rFonts w:cs="Arial"/>
        </w:rPr>
        <w:t>Working Group</w:t>
      </w:r>
      <w:r w:rsidRPr="00C14AB3">
        <w:rPr>
          <w:lang w:eastAsia="en-GB"/>
        </w:rPr>
        <w:t xml:space="preserve"> Activities</w:t>
      </w:r>
    </w:p>
    <w:p w14:paraId="2C373BBE" w14:textId="77777777" w:rsidR="00DE2695" w:rsidRPr="00DE2695" w:rsidRDefault="00DE2695" w:rsidP="00DE2695">
      <w:pPr>
        <w:rPr>
          <w:lang w:eastAsia="en-GB"/>
        </w:rPr>
      </w:pPr>
    </w:p>
    <w:p w14:paraId="43254D0B" w14:textId="63C8F5ED" w:rsidR="00C14AB3" w:rsidRPr="00C14AB3" w:rsidRDefault="00C14AB3" w:rsidP="00E67F76">
      <w:pPr>
        <w:spacing w:before="22" w:line="240" w:lineRule="auto"/>
        <w:ind w:right="923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371C6">
        <w:rPr>
          <w:rFonts w:eastAsia="Times New Roman" w:cs="Arial"/>
          <w:color w:val="000000" w:themeColor="text1"/>
          <w:lang w:eastAsia="en-GB"/>
        </w:rPr>
        <w:t xml:space="preserve">The exact deliverables and timescales will be subject to approval and sign-off from the </w:t>
      </w:r>
      <w:r w:rsidR="00C838CF" w:rsidRPr="00B371C6">
        <w:rPr>
          <w:rFonts w:cs="Arial"/>
        </w:rPr>
        <w:t>Working Group</w:t>
      </w:r>
      <w:r w:rsidRPr="00B371C6">
        <w:rPr>
          <w:rFonts w:eastAsia="Times New Roman" w:cs="Arial"/>
          <w:color w:val="000000" w:themeColor="text1"/>
          <w:lang w:eastAsia="en-GB"/>
        </w:rPr>
        <w:t xml:space="preserve"> mentor</w:t>
      </w:r>
      <w:r w:rsidRPr="5B5472D7">
        <w:rPr>
          <w:rFonts w:eastAsia="Times New Roman" w:cs="Arial"/>
          <w:i/>
          <w:iCs/>
          <w:color w:val="000000" w:themeColor="text1"/>
          <w:lang w:eastAsia="en-GB"/>
        </w:rPr>
        <w:t>.</w:t>
      </w:r>
      <w:r w:rsidRPr="5B5472D7">
        <w:rPr>
          <w:rFonts w:eastAsia="Times New Roman" w:cs="Arial"/>
          <w:color w:val="000000" w:themeColor="text1"/>
          <w:lang w:eastAsia="en-GB"/>
        </w:rPr>
        <w:t xml:space="preserve"> It is likely that the scope will change and a small number of high impact activities that are identified will either be at </w:t>
      </w:r>
      <w:r w:rsidR="0000095D" w:rsidRPr="5B5472D7">
        <w:rPr>
          <w:rFonts w:eastAsia="Times New Roman" w:cs="Arial"/>
          <w:color w:val="000000" w:themeColor="text1"/>
          <w:lang w:eastAsia="en-GB"/>
        </w:rPr>
        <w:t>minimal,</w:t>
      </w:r>
      <w:r w:rsidRPr="5B5472D7">
        <w:rPr>
          <w:rFonts w:eastAsia="Times New Roman" w:cs="Arial"/>
          <w:color w:val="000000" w:themeColor="text1"/>
          <w:lang w:eastAsia="en-GB"/>
        </w:rPr>
        <w:t xml:space="preserve"> or no cost will be selected, </w:t>
      </w:r>
      <w:r w:rsidR="00634B3A">
        <w:rPr>
          <w:rFonts w:eastAsia="Times New Roman" w:cs="Arial"/>
          <w:color w:val="000000" w:themeColor="text1"/>
          <w:lang w:eastAsia="en-GB"/>
        </w:rPr>
        <w:t>or by</w:t>
      </w:r>
      <w:r w:rsidRPr="5B5472D7">
        <w:rPr>
          <w:rFonts w:eastAsia="Times New Roman" w:cs="Arial"/>
          <w:color w:val="000000" w:themeColor="text1"/>
          <w:lang w:eastAsia="en-GB"/>
        </w:rPr>
        <w:t xml:space="preserve"> identifying a Benefactor to </w:t>
      </w:r>
      <w:r w:rsidR="00634B3A">
        <w:rPr>
          <w:rFonts w:eastAsia="Times New Roman" w:cs="Arial"/>
          <w:color w:val="000000" w:themeColor="text1"/>
          <w:lang w:eastAsia="en-GB"/>
        </w:rPr>
        <w:t>help fund the activities</w:t>
      </w:r>
      <w:r w:rsidRPr="5B5472D7">
        <w:rPr>
          <w:rFonts w:eastAsia="Times New Roman" w:cs="Arial"/>
          <w:color w:val="000000" w:themeColor="text1"/>
          <w:lang w:eastAsia="en-GB"/>
        </w:rPr>
        <w:t>.</w:t>
      </w:r>
    </w:p>
    <w:p w14:paraId="713F29B6" w14:textId="77777777" w:rsidR="00C14AB3" w:rsidRPr="00C14AB3" w:rsidRDefault="00C14AB3" w:rsidP="00E67F76">
      <w:pPr>
        <w:spacing w:line="240" w:lineRule="auto"/>
        <w:ind w:left="117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1F3018D1" w14:textId="77777777" w:rsidR="00C14AB3" w:rsidRDefault="00C14AB3" w:rsidP="003462A9">
      <w:pPr>
        <w:pStyle w:val="Heading2"/>
        <w:rPr>
          <w:lang w:eastAsia="en-GB"/>
        </w:rPr>
      </w:pPr>
      <w:r w:rsidRPr="00C14AB3">
        <w:rPr>
          <w:lang w:eastAsia="en-GB"/>
        </w:rPr>
        <w:t>Review &amp; Reporting</w:t>
      </w:r>
    </w:p>
    <w:p w14:paraId="19CB40B1" w14:textId="77777777" w:rsidR="00DE2695" w:rsidRPr="00DE2695" w:rsidRDefault="00DE2695" w:rsidP="00DE2695">
      <w:pPr>
        <w:rPr>
          <w:lang w:eastAsia="en-GB"/>
        </w:rPr>
      </w:pPr>
    </w:p>
    <w:p w14:paraId="1334BA68" w14:textId="19CDD962" w:rsidR="00C14AB3" w:rsidRPr="00C14AB3" w:rsidRDefault="00C14AB3" w:rsidP="00E67F76">
      <w:pPr>
        <w:spacing w:before="24" w:line="240" w:lineRule="auto"/>
        <w:ind w:right="617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14AB3">
        <w:rPr>
          <w:rFonts w:eastAsia="Times New Roman" w:cs="Arial"/>
          <w:color w:val="000000"/>
          <w:lang w:eastAsia="en-GB"/>
        </w:rPr>
        <w:t xml:space="preserve">Main achievements and overall project activity will be highlighted at TPA Advisory Board meetings. If </w:t>
      </w:r>
      <w:r w:rsidR="00C838CF" w:rsidRPr="00C838CF">
        <w:rPr>
          <w:rFonts w:cs="Arial"/>
        </w:rPr>
        <w:t>Working Group</w:t>
      </w:r>
      <w:r w:rsidRPr="00C14AB3">
        <w:rPr>
          <w:rFonts w:eastAsia="Times New Roman" w:cs="Arial"/>
          <w:color w:val="000000"/>
          <w:lang w:eastAsia="en-GB"/>
        </w:rPr>
        <w:t xml:space="preserve"> outputs require escalation or may be perceived as being contentious in nature, these will be raised to the TPA Advisory Board for review and guidance.</w:t>
      </w:r>
    </w:p>
    <w:p w14:paraId="68DFEF43" w14:textId="77777777" w:rsidR="00C14AB3" w:rsidRPr="00C14AB3" w:rsidRDefault="00C14AB3" w:rsidP="00E67F7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71EAC21E" w14:textId="514DB01E" w:rsidR="00C14AB3" w:rsidRPr="00C14AB3" w:rsidRDefault="00C14AB3" w:rsidP="00E67F76">
      <w:pPr>
        <w:spacing w:line="240" w:lineRule="auto"/>
        <w:ind w:right="1119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5B5472D7">
        <w:rPr>
          <w:rFonts w:eastAsia="Times New Roman" w:cs="Arial"/>
          <w:color w:val="000000" w:themeColor="text1"/>
          <w:lang w:eastAsia="en-GB"/>
        </w:rPr>
        <w:t xml:space="preserve">The success of the </w:t>
      </w:r>
      <w:r w:rsidR="4BA0D007" w:rsidRPr="5B5472D7">
        <w:rPr>
          <w:rFonts w:eastAsia="Times New Roman" w:cs="Arial"/>
          <w:color w:val="000000" w:themeColor="text1"/>
          <w:lang w:eastAsia="en-GB"/>
        </w:rPr>
        <w:t>working group</w:t>
      </w:r>
      <w:r w:rsidRPr="5B5472D7">
        <w:rPr>
          <w:rFonts w:eastAsia="Times New Roman" w:cs="Arial"/>
          <w:color w:val="000000" w:themeColor="text1"/>
          <w:lang w:eastAsia="en-GB"/>
        </w:rPr>
        <w:t xml:space="preserve"> will be reviewed on an annual basis by the TPA’s Advisory Board, who will choose whether to continue the project or close the project.</w:t>
      </w:r>
    </w:p>
    <w:p w14:paraId="5625DE80" w14:textId="77777777" w:rsidR="00C14AB3" w:rsidRPr="00C14AB3" w:rsidRDefault="00C14AB3" w:rsidP="00E67F7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5D5BA08" w14:textId="77777777" w:rsidR="00C14AB3" w:rsidRDefault="00C14AB3" w:rsidP="003462A9">
      <w:pPr>
        <w:pStyle w:val="Heading2"/>
        <w:rPr>
          <w:lang w:eastAsia="en-GB"/>
        </w:rPr>
      </w:pPr>
      <w:r w:rsidRPr="00C14AB3">
        <w:rPr>
          <w:lang w:eastAsia="en-GB"/>
        </w:rPr>
        <w:t>Risks and Uncertainties</w:t>
      </w:r>
    </w:p>
    <w:p w14:paraId="59765BCF" w14:textId="77777777" w:rsidR="00DE2695" w:rsidRPr="00DE2695" w:rsidRDefault="00DE2695" w:rsidP="00DE2695">
      <w:pPr>
        <w:rPr>
          <w:lang w:eastAsia="en-GB"/>
        </w:rPr>
      </w:pPr>
    </w:p>
    <w:p w14:paraId="25223121" w14:textId="7DE183A5" w:rsidR="00C14AB3" w:rsidRPr="00C14AB3" w:rsidRDefault="00C14AB3" w:rsidP="5B5472D7">
      <w:pPr>
        <w:spacing w:before="24" w:after="240" w:line="240" w:lineRule="auto"/>
        <w:ind w:right="697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5B5472D7">
        <w:rPr>
          <w:rFonts w:eastAsia="Times New Roman" w:cs="Arial"/>
          <w:color w:val="000000" w:themeColor="text1"/>
          <w:lang w:eastAsia="en-GB"/>
        </w:rPr>
        <w:t xml:space="preserve">These are the risks that may arise from events that would jeopardise the </w:t>
      </w:r>
      <w:r w:rsidR="00C838CF" w:rsidRPr="5B5472D7">
        <w:rPr>
          <w:rFonts w:cs="Arial"/>
        </w:rPr>
        <w:t>Working Group</w:t>
      </w:r>
      <w:r w:rsidR="00C838CF" w:rsidRPr="5B5472D7">
        <w:rPr>
          <w:rFonts w:eastAsia="Times New Roman" w:cs="Calibri Light"/>
        </w:rPr>
        <w:t xml:space="preserve"> </w:t>
      </w:r>
      <w:r w:rsidRPr="5B5472D7">
        <w:rPr>
          <w:rFonts w:eastAsia="Times New Roman" w:cs="Arial"/>
          <w:color w:val="000000" w:themeColor="text1"/>
          <w:lang w:eastAsia="en-GB"/>
        </w:rPr>
        <w:t>achieving its objectives. Risks may impact on time, cost, or quality of outcome. It is also important to plan what mitigating actions can be taken to lessen the risk.</w:t>
      </w:r>
    </w:p>
    <w:p w14:paraId="7B59DBC6" w14:textId="4A0671B1" w:rsidR="5B5472D7" w:rsidRDefault="5B5472D7" w:rsidP="5B5472D7">
      <w:pPr>
        <w:spacing w:before="24" w:line="240" w:lineRule="auto"/>
        <w:ind w:right="697"/>
        <w:jc w:val="both"/>
        <w:rPr>
          <w:rFonts w:eastAsia="Times New Roman" w:cs="Arial"/>
          <w:color w:val="000000" w:themeColor="text1"/>
          <w:lang w:eastAsia="en-GB"/>
        </w:rPr>
      </w:pPr>
    </w:p>
    <w:tbl>
      <w:tblPr>
        <w:tblW w:w="0" w:type="auto"/>
        <w:tblInd w:w="-11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3"/>
        <w:gridCol w:w="1138"/>
        <w:gridCol w:w="808"/>
        <w:gridCol w:w="4482"/>
      </w:tblGrid>
      <w:tr w:rsidR="00C14AB3" w:rsidRPr="00C14AB3" w14:paraId="78C64B66" w14:textId="77777777" w:rsidTr="5B5472D7">
        <w:trPr>
          <w:trHeight w:val="546"/>
        </w:trPr>
        <w:tc>
          <w:tcPr>
            <w:tcW w:w="0" w:type="auto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  <w:hideMark/>
          </w:tcPr>
          <w:p w14:paraId="2BC37B02" w14:textId="77777777" w:rsidR="00C14AB3" w:rsidRPr="00C14AB3" w:rsidRDefault="00C14AB3" w:rsidP="00E67F76">
            <w:pPr>
              <w:spacing w:before="2" w:line="240" w:lineRule="auto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14AB3">
              <w:rPr>
                <w:rFonts w:eastAsia="Times New Roman" w:cs="Arial"/>
                <w:color w:val="000000"/>
                <w:lang w:eastAsia="en-GB"/>
              </w:rPr>
              <w:t>Risk &amp;</w:t>
            </w:r>
          </w:p>
          <w:p w14:paraId="0552C22A" w14:textId="77777777" w:rsidR="00C14AB3" w:rsidRPr="00C14AB3" w:rsidRDefault="00C14AB3" w:rsidP="00E67F76">
            <w:pPr>
              <w:spacing w:before="21" w:line="240" w:lineRule="auto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14AB3">
              <w:rPr>
                <w:rFonts w:eastAsia="Times New Roman" w:cs="Arial"/>
                <w:color w:val="000000"/>
                <w:lang w:eastAsia="en-GB"/>
              </w:rPr>
              <w:t>Description</w:t>
            </w:r>
          </w:p>
        </w:tc>
        <w:tc>
          <w:tcPr>
            <w:tcW w:w="0" w:type="auto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  <w:hideMark/>
          </w:tcPr>
          <w:p w14:paraId="52EF6ED8" w14:textId="77777777" w:rsidR="00C14AB3" w:rsidRPr="00C14AB3" w:rsidRDefault="00C14AB3" w:rsidP="00E67F76">
            <w:pPr>
              <w:spacing w:before="2" w:line="240" w:lineRule="auto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14AB3">
              <w:rPr>
                <w:rFonts w:eastAsia="Times New Roman" w:cs="Arial"/>
                <w:color w:val="000000"/>
                <w:lang w:eastAsia="en-GB"/>
              </w:rPr>
              <w:t>Likelihood</w:t>
            </w:r>
          </w:p>
          <w:p w14:paraId="467C270A" w14:textId="77777777" w:rsidR="00C14AB3" w:rsidRPr="00C14AB3" w:rsidRDefault="00C14AB3" w:rsidP="00E67F76">
            <w:pPr>
              <w:spacing w:before="21" w:line="240" w:lineRule="auto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14AB3">
              <w:rPr>
                <w:rFonts w:eastAsia="Times New Roman" w:cs="Arial"/>
                <w:color w:val="000000"/>
                <w:lang w:eastAsia="en-GB"/>
              </w:rPr>
              <w:t xml:space="preserve">(1-5) </w:t>
            </w:r>
            <w:r w:rsidRPr="00C14AB3">
              <w:rPr>
                <w:rFonts w:eastAsia="Times New Roman" w:cs="Arial"/>
                <w:color w:val="000000"/>
                <w:sz w:val="13"/>
                <w:szCs w:val="13"/>
                <w:vertAlign w:val="superscript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  <w:hideMark/>
          </w:tcPr>
          <w:p w14:paraId="23F28AEB" w14:textId="77777777" w:rsidR="00C14AB3" w:rsidRPr="00C14AB3" w:rsidRDefault="00C14AB3" w:rsidP="00E67F76">
            <w:pPr>
              <w:spacing w:before="2" w:line="240" w:lineRule="auto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14AB3">
              <w:rPr>
                <w:rFonts w:eastAsia="Times New Roman" w:cs="Arial"/>
                <w:color w:val="000000"/>
                <w:lang w:eastAsia="en-GB"/>
              </w:rPr>
              <w:t>Impact</w:t>
            </w:r>
          </w:p>
          <w:p w14:paraId="2AC81C82" w14:textId="77777777" w:rsidR="00C14AB3" w:rsidRPr="00C14AB3" w:rsidRDefault="00C14AB3" w:rsidP="00E67F76">
            <w:pPr>
              <w:spacing w:before="21" w:line="240" w:lineRule="auto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14AB3">
              <w:rPr>
                <w:rFonts w:eastAsia="Times New Roman" w:cs="Arial"/>
                <w:color w:val="000000"/>
                <w:lang w:eastAsia="en-GB"/>
              </w:rPr>
              <w:t xml:space="preserve">(1-5) </w:t>
            </w:r>
            <w:r w:rsidRPr="00C14AB3">
              <w:rPr>
                <w:rFonts w:eastAsia="Times New Roman" w:cs="Arial"/>
                <w:color w:val="000000"/>
                <w:sz w:val="13"/>
                <w:szCs w:val="13"/>
                <w:vertAlign w:val="superscript"/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  <w:hideMark/>
          </w:tcPr>
          <w:p w14:paraId="59FA7779" w14:textId="77777777" w:rsidR="00C14AB3" w:rsidRPr="00C14AB3" w:rsidRDefault="00C14AB3" w:rsidP="00E67F76">
            <w:pPr>
              <w:spacing w:before="2" w:line="240" w:lineRule="auto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14AB3">
              <w:rPr>
                <w:rFonts w:eastAsia="Times New Roman" w:cs="Arial"/>
                <w:color w:val="000000"/>
                <w:lang w:eastAsia="en-GB"/>
              </w:rPr>
              <w:t>Initial Mitigating Actions</w:t>
            </w:r>
          </w:p>
        </w:tc>
      </w:tr>
      <w:tr w:rsidR="00C14AB3" w:rsidRPr="00C14AB3" w14:paraId="08BAF548" w14:textId="77777777" w:rsidTr="5B5472D7">
        <w:trPr>
          <w:trHeight w:val="945"/>
        </w:trPr>
        <w:tc>
          <w:tcPr>
            <w:tcW w:w="0" w:type="auto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  <w:hideMark/>
          </w:tcPr>
          <w:p w14:paraId="6A477E37" w14:textId="169287B9" w:rsidR="00C14AB3" w:rsidRPr="00C14AB3" w:rsidRDefault="377443C0" w:rsidP="00E67F76">
            <w:pPr>
              <w:spacing w:line="240" w:lineRule="auto"/>
              <w:ind w:left="117" w:right="578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5B5472D7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Low merchant engagement</w:t>
            </w:r>
          </w:p>
        </w:tc>
        <w:tc>
          <w:tcPr>
            <w:tcW w:w="0" w:type="auto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  <w:hideMark/>
          </w:tcPr>
          <w:p w14:paraId="53C1EF0D" w14:textId="40FC2F9C" w:rsidR="00C14AB3" w:rsidRPr="00C14AB3" w:rsidRDefault="008E54AC" w:rsidP="5B5472D7">
            <w:pPr>
              <w:spacing w:line="240" w:lineRule="auto"/>
              <w:ind w:left="117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  <w:hideMark/>
          </w:tcPr>
          <w:p w14:paraId="51FCB537" w14:textId="77777777" w:rsidR="00C14AB3" w:rsidRPr="00C14AB3" w:rsidRDefault="00C14AB3" w:rsidP="00E67F76">
            <w:pPr>
              <w:spacing w:line="240" w:lineRule="auto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14AB3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  <w:hideMark/>
          </w:tcPr>
          <w:p w14:paraId="6958A4E6" w14:textId="0787BC78" w:rsidR="00C14AB3" w:rsidRPr="00C14AB3" w:rsidRDefault="71968131" w:rsidP="00E67F76">
            <w:pPr>
              <w:spacing w:line="240" w:lineRule="auto"/>
              <w:ind w:left="117"/>
            </w:pPr>
            <w:r w:rsidRPr="5B5472D7">
              <w:rPr>
                <w:rFonts w:eastAsia="Arial" w:cs="Arial"/>
                <w:sz w:val="20"/>
                <w:szCs w:val="20"/>
              </w:rPr>
              <w:t>Build early merchant champions, and offer tangible value through insights and advocacy</w:t>
            </w:r>
          </w:p>
        </w:tc>
      </w:tr>
      <w:tr w:rsidR="00C14AB3" w:rsidRPr="00C14AB3" w14:paraId="372DE7AD" w14:textId="77777777" w:rsidTr="5B5472D7">
        <w:trPr>
          <w:trHeight w:val="1020"/>
        </w:trPr>
        <w:tc>
          <w:tcPr>
            <w:tcW w:w="0" w:type="auto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  <w:hideMark/>
          </w:tcPr>
          <w:p w14:paraId="076089F3" w14:textId="5D76EA7F" w:rsidR="00C14AB3" w:rsidRPr="00C14AB3" w:rsidRDefault="71968131" w:rsidP="00E67F76">
            <w:pPr>
              <w:spacing w:before="2" w:line="240" w:lineRule="auto"/>
              <w:ind w:left="117" w:right="211"/>
            </w:pPr>
            <w:r w:rsidRPr="5B5472D7">
              <w:rPr>
                <w:rFonts w:eastAsia="Arial" w:cs="Arial"/>
                <w:sz w:val="20"/>
                <w:szCs w:val="20"/>
              </w:rPr>
              <w:t>Scope creep</w:t>
            </w:r>
          </w:p>
        </w:tc>
        <w:tc>
          <w:tcPr>
            <w:tcW w:w="0" w:type="auto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  <w:hideMark/>
          </w:tcPr>
          <w:p w14:paraId="1D98EAFF" w14:textId="52C30E06" w:rsidR="00C14AB3" w:rsidRPr="00C14AB3" w:rsidRDefault="4E7D3C25" w:rsidP="5B5472D7">
            <w:pPr>
              <w:spacing w:before="2" w:line="240" w:lineRule="auto"/>
              <w:ind w:left="117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5B5472D7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  <w:hideMark/>
          </w:tcPr>
          <w:p w14:paraId="0E7C0990" w14:textId="6A12FB34" w:rsidR="00C14AB3" w:rsidRPr="00C14AB3" w:rsidRDefault="4E7D3C25" w:rsidP="5B5472D7">
            <w:pPr>
              <w:spacing w:before="2" w:line="240" w:lineRule="auto"/>
              <w:ind w:left="117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5B5472D7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  <w:hideMark/>
          </w:tcPr>
          <w:p w14:paraId="47879362" w14:textId="5915DA54" w:rsidR="00C14AB3" w:rsidRPr="00C14AB3" w:rsidRDefault="4E7D3C25" w:rsidP="00E67F76">
            <w:pPr>
              <w:spacing w:before="2" w:line="240" w:lineRule="auto"/>
              <w:ind w:left="117" w:right="154"/>
            </w:pPr>
            <w:r w:rsidRPr="5B5472D7">
              <w:rPr>
                <w:rFonts w:eastAsia="Arial" w:cs="Arial"/>
                <w:sz w:val="20"/>
                <w:szCs w:val="20"/>
              </w:rPr>
              <w:t>Focus on a small number of high-impact, deliverable activities; review scope quarterly</w:t>
            </w:r>
          </w:p>
        </w:tc>
      </w:tr>
      <w:tr w:rsidR="5B5472D7" w14:paraId="1254698C" w14:textId="77777777" w:rsidTr="5B5472D7">
        <w:trPr>
          <w:trHeight w:val="990"/>
        </w:trPr>
        <w:tc>
          <w:tcPr>
            <w:tcW w:w="2503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  <w:hideMark/>
          </w:tcPr>
          <w:p w14:paraId="2A0EE776" w14:textId="643FFD12" w:rsidR="4986E201" w:rsidRDefault="4986E201" w:rsidP="5B5472D7">
            <w:pPr>
              <w:spacing w:line="240" w:lineRule="auto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5B5472D7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Overlap with regulatory or industry initiatives</w:t>
            </w:r>
          </w:p>
        </w:tc>
        <w:tc>
          <w:tcPr>
            <w:tcW w:w="1138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  <w:hideMark/>
          </w:tcPr>
          <w:p w14:paraId="7B52BFE9" w14:textId="796CEB3B" w:rsidR="4986E201" w:rsidRDefault="4986E201" w:rsidP="5B5472D7">
            <w:pPr>
              <w:spacing w:line="240" w:lineRule="auto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5B5472D7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808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  <w:hideMark/>
          </w:tcPr>
          <w:p w14:paraId="7C1F4F52" w14:textId="6870FB03" w:rsidR="4986E201" w:rsidRDefault="001E3DA1" w:rsidP="5B5472D7">
            <w:pPr>
              <w:spacing w:line="240" w:lineRule="auto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4482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  <w:hideMark/>
          </w:tcPr>
          <w:p w14:paraId="1C2B8493" w14:textId="14613216" w:rsidR="4986E201" w:rsidRDefault="4986E201" w:rsidP="5B5472D7">
            <w:pPr>
              <w:spacing w:line="240" w:lineRule="auto"/>
              <w:ind w:left="117" w:right="111"/>
              <w:rPr>
                <w:rFonts w:eastAsia="Arial" w:cs="Arial"/>
                <w:sz w:val="20"/>
                <w:szCs w:val="20"/>
              </w:rPr>
            </w:pPr>
            <w:r w:rsidRPr="5B5472D7">
              <w:rPr>
                <w:rFonts w:eastAsia="Arial" w:cs="Arial"/>
                <w:sz w:val="20"/>
                <w:szCs w:val="20"/>
              </w:rPr>
              <w:t>Monitor and coordinate with existing initiatives via stakeholder engagement – create a list of relevant stakeholders and their initiatives</w:t>
            </w:r>
          </w:p>
          <w:p w14:paraId="44A6773D" w14:textId="3EE35765" w:rsidR="5B5472D7" w:rsidRDefault="5B5472D7" w:rsidP="5B5472D7">
            <w:pPr>
              <w:spacing w:line="240" w:lineRule="auto"/>
              <w:rPr>
                <w:rFonts w:eastAsia="Arial" w:cs="Arial"/>
                <w:sz w:val="20"/>
                <w:szCs w:val="20"/>
              </w:rPr>
            </w:pPr>
          </w:p>
        </w:tc>
      </w:tr>
      <w:tr w:rsidR="5B5472D7" w14:paraId="64CD6DEA" w14:textId="77777777" w:rsidTr="5B5472D7">
        <w:trPr>
          <w:trHeight w:val="1785"/>
        </w:trPr>
        <w:tc>
          <w:tcPr>
            <w:tcW w:w="2503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  <w:hideMark/>
          </w:tcPr>
          <w:p w14:paraId="620B720D" w14:textId="18752671" w:rsidR="4986E201" w:rsidRDefault="4986E201" w:rsidP="5B5472D7">
            <w:pPr>
              <w:spacing w:line="240" w:lineRule="auto"/>
              <w:rPr>
                <w:rFonts w:eastAsia="Arial" w:cs="Arial"/>
                <w:sz w:val="20"/>
                <w:szCs w:val="20"/>
              </w:rPr>
            </w:pPr>
            <w:r w:rsidRPr="5B5472D7">
              <w:rPr>
                <w:rFonts w:eastAsia="Arial" w:cs="Arial"/>
                <w:sz w:val="20"/>
                <w:szCs w:val="20"/>
              </w:rPr>
              <w:t>Funding gaps</w:t>
            </w:r>
          </w:p>
        </w:tc>
        <w:tc>
          <w:tcPr>
            <w:tcW w:w="1138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  <w:hideMark/>
          </w:tcPr>
          <w:p w14:paraId="1171129A" w14:textId="35EFB2F9" w:rsidR="4986E201" w:rsidRDefault="4986E201" w:rsidP="5B5472D7">
            <w:pPr>
              <w:spacing w:line="240" w:lineRule="auto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5B5472D7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808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  <w:hideMark/>
          </w:tcPr>
          <w:p w14:paraId="1FFC0D20" w14:textId="7386495B" w:rsidR="4986E201" w:rsidRDefault="4986E201" w:rsidP="5B5472D7">
            <w:pPr>
              <w:spacing w:line="240" w:lineRule="auto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5B5472D7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4482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  <w:hideMark/>
          </w:tcPr>
          <w:p w14:paraId="53ED9935" w14:textId="0FC7C0EC" w:rsidR="4986E201" w:rsidRDefault="4986E201" w:rsidP="5B5472D7">
            <w:pPr>
              <w:spacing w:before="10" w:line="240" w:lineRule="auto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  <w:r w:rsidRPr="5B5472D7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Seek sponsorship from members, focus on low-cost outputs where needed</w:t>
            </w:r>
          </w:p>
          <w:p w14:paraId="0A9BB051" w14:textId="5589BAD3" w:rsidR="5B5472D7" w:rsidRDefault="5B5472D7" w:rsidP="5B5472D7">
            <w:pPr>
              <w:spacing w:before="10" w:line="240" w:lineRule="auto"/>
              <w:ind w:left="117"/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</w:pPr>
          </w:p>
          <w:p w14:paraId="2703DC4E" w14:textId="1E15079B" w:rsidR="4986E201" w:rsidRDefault="4986E201" w:rsidP="5B5472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5B5472D7">
              <w:rPr>
                <w:rFonts w:eastAsia="Times New Roman" w:cs="Arial"/>
                <w:color w:val="000000" w:themeColor="text1"/>
                <w:sz w:val="20"/>
                <w:szCs w:val="20"/>
                <w:lang w:eastAsia="en-GB"/>
              </w:rPr>
              <w:t>Cost-associated outputs will not be commissioned unless a minimum viable threshold for revenue has been achieved.</w:t>
            </w:r>
          </w:p>
        </w:tc>
      </w:tr>
    </w:tbl>
    <w:p w14:paraId="780BF297" w14:textId="40EA5CAF" w:rsidR="00C14AB3" w:rsidRPr="00C14AB3" w:rsidRDefault="00C14AB3" w:rsidP="5B5472D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7D6681B0" w14:textId="77777777" w:rsidR="00C14AB3" w:rsidRPr="00C14AB3" w:rsidRDefault="00C14AB3" w:rsidP="00E67F76">
      <w:pPr>
        <w:spacing w:before="93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14AB3">
        <w:rPr>
          <w:rFonts w:eastAsia="Times New Roman" w:cs="Arial"/>
          <w:color w:val="000000"/>
          <w:lang w:eastAsia="en-GB"/>
        </w:rPr>
        <w:t>Key:</w:t>
      </w:r>
    </w:p>
    <w:p w14:paraId="50B41A06" w14:textId="77777777" w:rsidR="00E67F76" w:rsidRPr="00E67F76" w:rsidRDefault="00E67F76" w:rsidP="00E67F76">
      <w:pPr>
        <w:numPr>
          <w:ilvl w:val="0"/>
          <w:numId w:val="36"/>
        </w:numPr>
        <w:tabs>
          <w:tab w:val="clear" w:pos="720"/>
          <w:tab w:val="num" w:pos="603"/>
        </w:tabs>
        <w:spacing w:before="20" w:line="240" w:lineRule="auto"/>
        <w:ind w:left="0" w:firstLine="0"/>
        <w:textAlignment w:val="baseline"/>
        <w:rPr>
          <w:rFonts w:ascii="Noto Sans Symbols" w:eastAsia="Times New Roman" w:hAnsi="Noto Sans Symbols" w:cs="Times New Roman"/>
          <w:color w:val="000000"/>
          <w:lang w:eastAsia="en-GB"/>
        </w:rPr>
      </w:pPr>
      <w:r w:rsidRPr="00E67F76">
        <w:rPr>
          <w:rFonts w:eastAsia="Times New Roman" w:cs="Arial"/>
          <w:color w:val="000000"/>
          <w:lang w:eastAsia="en-GB"/>
        </w:rPr>
        <w:t xml:space="preserve">Likelihood </w:t>
      </w:r>
      <w:r w:rsidRPr="00E67F76">
        <w:rPr>
          <w:rFonts w:eastAsia="Times New Roman" w:cs="Arial"/>
          <w:color w:val="000000"/>
          <w:sz w:val="13"/>
          <w:szCs w:val="13"/>
          <w:vertAlign w:val="superscript"/>
          <w:lang w:eastAsia="en-GB"/>
        </w:rPr>
        <w:t>1</w:t>
      </w:r>
      <w:r w:rsidRPr="00E67F76">
        <w:rPr>
          <w:rFonts w:eastAsia="Times New Roman" w:cs="Arial"/>
          <w:color w:val="000000"/>
          <w:lang w:eastAsia="en-GB"/>
        </w:rPr>
        <w:t>: Score 1 = Rare and 5 = Almost Certain</w:t>
      </w:r>
    </w:p>
    <w:p w14:paraId="7E61FC4E" w14:textId="7C3398D8" w:rsidR="0090232F" w:rsidRPr="00075FDE" w:rsidRDefault="00E67F76" w:rsidP="5B5472D7">
      <w:pPr>
        <w:numPr>
          <w:ilvl w:val="0"/>
          <w:numId w:val="31"/>
        </w:numPr>
        <w:tabs>
          <w:tab w:val="clear" w:pos="720"/>
          <w:tab w:val="num" w:pos="603"/>
        </w:tabs>
        <w:spacing w:before="20" w:line="240" w:lineRule="auto"/>
        <w:ind w:left="0" w:firstLine="0"/>
        <w:textAlignment w:val="baseline"/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</w:pPr>
      <w:r w:rsidRPr="5B5472D7">
        <w:rPr>
          <w:rFonts w:eastAsia="Times New Roman" w:cs="Arial"/>
          <w:color w:val="000000" w:themeColor="text1"/>
          <w:lang w:eastAsia="en-GB"/>
        </w:rPr>
        <w:lastRenderedPageBreak/>
        <w:t xml:space="preserve">Impact on time </w:t>
      </w:r>
      <w:r w:rsidRPr="5B5472D7">
        <w:rPr>
          <w:rFonts w:eastAsia="Times New Roman" w:cs="Arial"/>
          <w:color w:val="000000" w:themeColor="text1"/>
          <w:sz w:val="13"/>
          <w:szCs w:val="13"/>
          <w:vertAlign w:val="superscript"/>
          <w:lang w:eastAsia="en-GB"/>
        </w:rPr>
        <w:t>2</w:t>
      </w:r>
      <w:r w:rsidRPr="5B5472D7">
        <w:rPr>
          <w:rFonts w:eastAsia="Times New Roman" w:cs="Arial"/>
          <w:color w:val="000000" w:themeColor="text1"/>
          <w:lang w:eastAsia="en-GB"/>
        </w:rPr>
        <w:t>: Cost and quality of project deliverables: 1 = Insignificant and 5 = Catastrophic</w:t>
      </w:r>
    </w:p>
    <w:p w14:paraId="54EFED2C" w14:textId="77777777" w:rsidR="00075FDE" w:rsidRDefault="00075FDE" w:rsidP="00075FDE">
      <w:pPr>
        <w:spacing w:before="20" w:line="240" w:lineRule="auto"/>
        <w:textAlignment w:val="baseline"/>
        <w:rPr>
          <w:rFonts w:eastAsia="Times New Roman" w:cs="Arial"/>
          <w:color w:val="000000" w:themeColor="text1"/>
          <w:lang w:eastAsia="en-GB"/>
        </w:rPr>
      </w:pPr>
    </w:p>
    <w:p w14:paraId="7B6A9AA7" w14:textId="77777777" w:rsidR="00075FDE" w:rsidRDefault="00075FDE" w:rsidP="00075FDE">
      <w:pPr>
        <w:spacing w:before="20" w:line="240" w:lineRule="auto"/>
        <w:textAlignment w:val="baseline"/>
        <w:rPr>
          <w:rFonts w:eastAsia="Times New Roman" w:cs="Arial"/>
          <w:color w:val="000000" w:themeColor="text1"/>
          <w:lang w:eastAsia="en-GB"/>
        </w:rPr>
      </w:pPr>
    </w:p>
    <w:p w14:paraId="1F2D1ED4" w14:textId="5A72DD4E" w:rsidR="00075FDE" w:rsidRDefault="00075FDE" w:rsidP="00075FDE">
      <w:pPr>
        <w:spacing w:before="20" w:line="240" w:lineRule="auto"/>
        <w:textAlignment w:val="baseline"/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</w:pPr>
    </w:p>
    <w:sectPr w:rsidR="00075FDE" w:rsidSect="00CF2E8B">
      <w:type w:val="continuous"/>
      <w:pgSz w:w="11900" w:h="16840"/>
      <w:pgMar w:top="1440" w:right="1800" w:bottom="1440" w:left="1276" w:header="0" w:footer="8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88CED7" w14:textId="77777777" w:rsidR="00B430B5" w:rsidRDefault="00B430B5" w:rsidP="00AC14F7">
      <w:pPr>
        <w:spacing w:line="240" w:lineRule="auto"/>
      </w:pPr>
      <w:r>
        <w:separator/>
      </w:r>
    </w:p>
  </w:endnote>
  <w:endnote w:type="continuationSeparator" w:id="0">
    <w:p w14:paraId="1BC83A78" w14:textId="77777777" w:rsidR="00B430B5" w:rsidRDefault="00B430B5" w:rsidP="00AC14F7">
      <w:pPr>
        <w:spacing w:line="240" w:lineRule="auto"/>
      </w:pPr>
      <w:r>
        <w:continuationSeparator/>
      </w:r>
    </w:p>
  </w:endnote>
  <w:endnote w:type="continuationNotice" w:id="1">
    <w:p w14:paraId="6FEE1667" w14:textId="77777777" w:rsidR="00B430B5" w:rsidRDefault="00B430B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venir 35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62F735" w14:textId="77777777" w:rsidR="00133540" w:rsidRDefault="00133540" w:rsidP="5B5472D7">
    <w:pPr>
      <w:pStyle w:val="Footer"/>
      <w:rPr>
        <w:noProof/>
        <w:sz w:val="18"/>
        <w:szCs w:val="18"/>
        <w:lang w:val="en-US"/>
      </w:rPr>
    </w:pPr>
  </w:p>
  <w:p w14:paraId="4E55C7DE" w14:textId="10AB803A" w:rsidR="00AC14F7" w:rsidRPr="00BF25DF" w:rsidRDefault="5B5472D7" w:rsidP="5B5472D7">
    <w:pPr>
      <w:pStyle w:val="Footer"/>
      <w:rPr>
        <w:noProof/>
        <w:sz w:val="18"/>
        <w:szCs w:val="18"/>
        <w:lang w:val="en-US"/>
      </w:rPr>
    </w:pPr>
    <w:r w:rsidRPr="5B5472D7">
      <w:rPr>
        <w:noProof/>
        <w:sz w:val="18"/>
        <w:szCs w:val="18"/>
        <w:lang w:val="en-US"/>
      </w:rPr>
      <w:t xml:space="preserve">The Payments Association </w:t>
    </w:r>
    <w:r w:rsidR="001C0D7A">
      <w:tab/>
    </w:r>
    <w:r w:rsidRPr="5B5472D7">
      <w:rPr>
        <w:noProof/>
        <w:sz w:val="18"/>
        <w:szCs w:val="18"/>
        <w:lang w:val="en-US"/>
      </w:rPr>
      <w:t xml:space="preserve">Page </w:t>
    </w:r>
    <w:r w:rsidR="001C0D7A" w:rsidRPr="5B5472D7">
      <w:rPr>
        <w:noProof/>
        <w:sz w:val="18"/>
        <w:szCs w:val="18"/>
        <w:lang w:val="en-US"/>
      </w:rPr>
      <w:fldChar w:fldCharType="begin"/>
    </w:r>
    <w:r w:rsidR="001C0D7A" w:rsidRPr="5B5472D7">
      <w:rPr>
        <w:noProof/>
        <w:sz w:val="18"/>
        <w:szCs w:val="18"/>
        <w:lang w:val="en-US"/>
      </w:rPr>
      <w:instrText xml:space="preserve"> PAGE   \* MERGEFORMAT </w:instrText>
    </w:r>
    <w:r w:rsidR="001C0D7A" w:rsidRPr="5B5472D7">
      <w:rPr>
        <w:noProof/>
        <w:sz w:val="18"/>
        <w:szCs w:val="18"/>
        <w:lang w:val="en-US"/>
      </w:rPr>
      <w:fldChar w:fldCharType="separate"/>
    </w:r>
    <w:r w:rsidRPr="5B5472D7">
      <w:rPr>
        <w:noProof/>
        <w:sz w:val="18"/>
        <w:szCs w:val="18"/>
        <w:lang w:val="en-US"/>
      </w:rPr>
      <w:t>1</w:t>
    </w:r>
    <w:r w:rsidR="001C0D7A" w:rsidRPr="5B5472D7">
      <w:rPr>
        <w:noProof/>
        <w:sz w:val="18"/>
        <w:szCs w:val="18"/>
        <w:lang w:val="en-US"/>
      </w:rPr>
      <w:fldChar w:fldCharType="end"/>
    </w:r>
    <w:r w:rsidR="001C0D7A">
      <w:tab/>
    </w:r>
    <w:r w:rsidRPr="5B5472D7">
      <w:rPr>
        <w:noProof/>
        <w:sz w:val="18"/>
        <w:szCs w:val="18"/>
        <w:lang w:val="en-US"/>
      </w:rPr>
      <w:t xml:space="preserve">                </w:t>
    </w:r>
    <w:r w:rsidR="001C0D7A">
      <w:tab/>
    </w:r>
    <w:r w:rsidR="001C0D7A">
      <w:tab/>
    </w:r>
    <w:r w:rsidRPr="5B5472D7">
      <w:rPr>
        <w:noProof/>
        <w:sz w:val="18"/>
        <w:szCs w:val="18"/>
        <w:lang w:val="en-US"/>
      </w:rPr>
      <w:t xml:space="preserve">Merchant Payments Working </w:t>
    </w:r>
    <w:r w:rsidR="001C0D7A">
      <w:tab/>
    </w:r>
    <w:r w:rsidR="001C0D7A">
      <w:tab/>
    </w:r>
    <w:r w:rsidRPr="5B5472D7">
      <w:rPr>
        <w:noProof/>
        <w:sz w:val="18"/>
        <w:szCs w:val="18"/>
        <w:lang w:val="en-US"/>
      </w:rPr>
      <w:t>Group Specification V1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E742A4" w14:textId="77777777" w:rsidR="00B430B5" w:rsidRDefault="00B430B5" w:rsidP="00AC14F7">
      <w:pPr>
        <w:spacing w:line="240" w:lineRule="auto"/>
      </w:pPr>
      <w:r>
        <w:separator/>
      </w:r>
    </w:p>
  </w:footnote>
  <w:footnote w:type="continuationSeparator" w:id="0">
    <w:p w14:paraId="72D7AC14" w14:textId="77777777" w:rsidR="00B430B5" w:rsidRDefault="00B430B5" w:rsidP="00AC14F7">
      <w:pPr>
        <w:spacing w:line="240" w:lineRule="auto"/>
      </w:pPr>
      <w:r>
        <w:continuationSeparator/>
      </w:r>
    </w:p>
  </w:footnote>
  <w:footnote w:type="continuationNotice" w:id="1">
    <w:p w14:paraId="091A7C58" w14:textId="77777777" w:rsidR="00B430B5" w:rsidRDefault="00B430B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27D684" w14:textId="7299D628" w:rsidR="00AC14F7" w:rsidRDefault="00846D25" w:rsidP="00AC14F7">
    <w:pPr>
      <w:pStyle w:val="Header"/>
    </w:pPr>
    <w:r>
      <w:rPr>
        <w:noProof/>
        <w:bdr w:val="none" w:sz="0" w:space="0" w:color="auto" w:frame="1"/>
      </w:rPr>
      <w:drawing>
        <wp:anchor distT="0" distB="0" distL="114300" distR="114300" simplePos="0" relativeHeight="251658240" behindDoc="1" locked="0" layoutInCell="1" allowOverlap="1" wp14:anchorId="5715A893" wp14:editId="480E138C">
          <wp:simplePos x="0" y="0"/>
          <wp:positionH relativeFrom="column">
            <wp:posOffset>4577080</wp:posOffset>
          </wp:positionH>
          <wp:positionV relativeFrom="paragraph">
            <wp:posOffset>83820</wp:posOffset>
          </wp:positionV>
          <wp:extent cx="1394460" cy="1112520"/>
          <wp:effectExtent l="0" t="0" r="0" b="0"/>
          <wp:wrapTight wrapText="bothSides">
            <wp:wrapPolygon edited="0">
              <wp:start x="2951" y="0"/>
              <wp:lineTo x="2951" y="17384"/>
              <wp:lineTo x="0" y="18863"/>
              <wp:lineTo x="0" y="21082"/>
              <wp:lineTo x="9148" y="21082"/>
              <wp:lineTo x="11508" y="21082"/>
              <wp:lineTo x="21246" y="21082"/>
              <wp:lineTo x="21246" y="18493"/>
              <wp:lineTo x="18885" y="17014"/>
              <wp:lineTo x="18295" y="0"/>
              <wp:lineTo x="2951" y="0"/>
            </wp:wrapPolygon>
          </wp:wrapTight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4460" cy="1112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B6683"/>
    <w:multiLevelType w:val="hybridMultilevel"/>
    <w:tmpl w:val="928802C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BD0706"/>
    <w:multiLevelType w:val="hybridMultilevel"/>
    <w:tmpl w:val="26282002"/>
    <w:lvl w:ilvl="0" w:tplc="DC44A934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AB3386"/>
    <w:multiLevelType w:val="hybridMultilevel"/>
    <w:tmpl w:val="A306BE0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716E6E"/>
    <w:multiLevelType w:val="hybridMultilevel"/>
    <w:tmpl w:val="911A1E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C8CE46"/>
    <w:multiLevelType w:val="hybridMultilevel"/>
    <w:tmpl w:val="E3A4CC6E"/>
    <w:lvl w:ilvl="0" w:tplc="3A4AB1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04B5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66461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9A0A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8EF8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444FB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28B2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C449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61427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AB4B5F"/>
    <w:multiLevelType w:val="hybridMultilevel"/>
    <w:tmpl w:val="7FA681A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8E068F"/>
    <w:multiLevelType w:val="multilevel"/>
    <w:tmpl w:val="7366B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266E38"/>
    <w:multiLevelType w:val="hybridMultilevel"/>
    <w:tmpl w:val="F822C5FC"/>
    <w:lvl w:ilvl="0" w:tplc="E23CB16C">
      <w:start w:val="1"/>
      <w:numFmt w:val="decimal"/>
      <w:lvlText w:val="%1."/>
      <w:lvlJc w:val="left"/>
      <w:pPr>
        <w:ind w:left="1080" w:hanging="360"/>
      </w:pPr>
    </w:lvl>
    <w:lvl w:ilvl="1" w:tplc="1180C2F2">
      <w:start w:val="1"/>
      <w:numFmt w:val="lowerLetter"/>
      <w:lvlText w:val="%2."/>
      <w:lvlJc w:val="left"/>
      <w:pPr>
        <w:ind w:left="1800" w:hanging="360"/>
      </w:pPr>
    </w:lvl>
    <w:lvl w:ilvl="2" w:tplc="72E4F112">
      <w:start w:val="1"/>
      <w:numFmt w:val="lowerRoman"/>
      <w:lvlText w:val="%3."/>
      <w:lvlJc w:val="right"/>
      <w:pPr>
        <w:ind w:left="2520" w:hanging="180"/>
      </w:pPr>
    </w:lvl>
    <w:lvl w:ilvl="3" w:tplc="02DC34E2">
      <w:start w:val="1"/>
      <w:numFmt w:val="decimal"/>
      <w:lvlText w:val="%4."/>
      <w:lvlJc w:val="left"/>
      <w:pPr>
        <w:ind w:left="3240" w:hanging="360"/>
      </w:pPr>
    </w:lvl>
    <w:lvl w:ilvl="4" w:tplc="35067C2C">
      <w:start w:val="1"/>
      <w:numFmt w:val="lowerLetter"/>
      <w:lvlText w:val="%5."/>
      <w:lvlJc w:val="left"/>
      <w:pPr>
        <w:ind w:left="3960" w:hanging="360"/>
      </w:pPr>
    </w:lvl>
    <w:lvl w:ilvl="5" w:tplc="373EA18A">
      <w:start w:val="1"/>
      <w:numFmt w:val="lowerRoman"/>
      <w:lvlText w:val="%6."/>
      <w:lvlJc w:val="right"/>
      <w:pPr>
        <w:ind w:left="4680" w:hanging="180"/>
      </w:pPr>
    </w:lvl>
    <w:lvl w:ilvl="6" w:tplc="A8820FF4">
      <w:start w:val="1"/>
      <w:numFmt w:val="decimal"/>
      <w:lvlText w:val="%7."/>
      <w:lvlJc w:val="left"/>
      <w:pPr>
        <w:ind w:left="5400" w:hanging="360"/>
      </w:pPr>
    </w:lvl>
    <w:lvl w:ilvl="7" w:tplc="7F766E42">
      <w:start w:val="1"/>
      <w:numFmt w:val="lowerLetter"/>
      <w:lvlText w:val="%8."/>
      <w:lvlJc w:val="left"/>
      <w:pPr>
        <w:ind w:left="6120" w:hanging="360"/>
      </w:pPr>
    </w:lvl>
    <w:lvl w:ilvl="8" w:tplc="4BE287D0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AE50B77"/>
    <w:multiLevelType w:val="multilevel"/>
    <w:tmpl w:val="0CEC00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B39041A"/>
    <w:multiLevelType w:val="hybridMultilevel"/>
    <w:tmpl w:val="727C8820"/>
    <w:lvl w:ilvl="0" w:tplc="5ED6989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D2E2DC4"/>
    <w:multiLevelType w:val="hybridMultilevel"/>
    <w:tmpl w:val="CFB85FC4"/>
    <w:lvl w:ilvl="0" w:tplc="DF4E447C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DBF67CE"/>
    <w:multiLevelType w:val="hybridMultilevel"/>
    <w:tmpl w:val="F440CFC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E9D24B8"/>
    <w:multiLevelType w:val="hybridMultilevel"/>
    <w:tmpl w:val="E05481C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756FCC"/>
    <w:multiLevelType w:val="hybridMultilevel"/>
    <w:tmpl w:val="A1EA1E5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3162B2C"/>
    <w:multiLevelType w:val="hybridMultilevel"/>
    <w:tmpl w:val="05644E7A"/>
    <w:lvl w:ilvl="0" w:tplc="78EA0A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8C2CF5"/>
    <w:multiLevelType w:val="hybridMultilevel"/>
    <w:tmpl w:val="EF9A7670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B240A6"/>
    <w:multiLevelType w:val="hybridMultilevel"/>
    <w:tmpl w:val="AC5004E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E42DF8"/>
    <w:multiLevelType w:val="multilevel"/>
    <w:tmpl w:val="7D56E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7257E15"/>
    <w:multiLevelType w:val="hybridMultilevel"/>
    <w:tmpl w:val="6ACEF7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3DB1FF"/>
    <w:multiLevelType w:val="hybridMultilevel"/>
    <w:tmpl w:val="452E60DC"/>
    <w:lvl w:ilvl="0" w:tplc="5296AF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1C19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3C64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5C3B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62AC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98E51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2EEB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B4B7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D5217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DD05C7"/>
    <w:multiLevelType w:val="hybridMultilevel"/>
    <w:tmpl w:val="903024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F26A8A"/>
    <w:multiLevelType w:val="hybridMultilevel"/>
    <w:tmpl w:val="0860B79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320BFC"/>
    <w:multiLevelType w:val="hybridMultilevel"/>
    <w:tmpl w:val="770442EA"/>
    <w:lvl w:ilvl="0" w:tplc="194272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15F3FFA"/>
    <w:multiLevelType w:val="multilevel"/>
    <w:tmpl w:val="2EF00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E144644"/>
    <w:multiLevelType w:val="hybridMultilevel"/>
    <w:tmpl w:val="D83C1CFA"/>
    <w:lvl w:ilvl="0" w:tplc="0380B32A">
      <w:start w:val="1"/>
      <w:numFmt w:val="decimal"/>
      <w:lvlText w:val="%1."/>
      <w:lvlJc w:val="left"/>
      <w:pPr>
        <w:ind w:left="720" w:hanging="360"/>
      </w:pPr>
    </w:lvl>
    <w:lvl w:ilvl="1" w:tplc="09E4A966">
      <w:start w:val="1"/>
      <w:numFmt w:val="lowerLetter"/>
      <w:lvlText w:val="%2."/>
      <w:lvlJc w:val="left"/>
      <w:pPr>
        <w:ind w:left="1440" w:hanging="360"/>
      </w:pPr>
    </w:lvl>
    <w:lvl w:ilvl="2" w:tplc="4D6EF04E">
      <w:start w:val="1"/>
      <w:numFmt w:val="lowerRoman"/>
      <w:lvlText w:val="%3."/>
      <w:lvlJc w:val="right"/>
      <w:pPr>
        <w:ind w:left="2160" w:hanging="180"/>
      </w:pPr>
    </w:lvl>
    <w:lvl w:ilvl="3" w:tplc="A7AC2244">
      <w:start w:val="1"/>
      <w:numFmt w:val="decimal"/>
      <w:lvlText w:val="%4."/>
      <w:lvlJc w:val="left"/>
      <w:pPr>
        <w:ind w:left="2880" w:hanging="360"/>
      </w:pPr>
    </w:lvl>
    <w:lvl w:ilvl="4" w:tplc="0B9EEC1E">
      <w:start w:val="1"/>
      <w:numFmt w:val="lowerLetter"/>
      <w:lvlText w:val="%5."/>
      <w:lvlJc w:val="left"/>
      <w:pPr>
        <w:ind w:left="3600" w:hanging="360"/>
      </w:pPr>
    </w:lvl>
    <w:lvl w:ilvl="5" w:tplc="DBA62CB0">
      <w:start w:val="1"/>
      <w:numFmt w:val="lowerRoman"/>
      <w:lvlText w:val="%6."/>
      <w:lvlJc w:val="right"/>
      <w:pPr>
        <w:ind w:left="4320" w:hanging="180"/>
      </w:pPr>
    </w:lvl>
    <w:lvl w:ilvl="6" w:tplc="D5BC4A10">
      <w:start w:val="1"/>
      <w:numFmt w:val="decimal"/>
      <w:lvlText w:val="%7."/>
      <w:lvlJc w:val="left"/>
      <w:pPr>
        <w:ind w:left="5040" w:hanging="360"/>
      </w:pPr>
    </w:lvl>
    <w:lvl w:ilvl="7" w:tplc="978A19D0">
      <w:start w:val="1"/>
      <w:numFmt w:val="lowerLetter"/>
      <w:lvlText w:val="%8."/>
      <w:lvlJc w:val="left"/>
      <w:pPr>
        <w:ind w:left="5760" w:hanging="360"/>
      </w:pPr>
    </w:lvl>
    <w:lvl w:ilvl="8" w:tplc="8E7CD52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C416A1"/>
    <w:multiLevelType w:val="hybridMultilevel"/>
    <w:tmpl w:val="BEF0812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6A5238"/>
    <w:multiLevelType w:val="hybridMultilevel"/>
    <w:tmpl w:val="C41278AE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945E2B0"/>
    <w:multiLevelType w:val="hybridMultilevel"/>
    <w:tmpl w:val="935EE00C"/>
    <w:lvl w:ilvl="0" w:tplc="B24A7090">
      <w:start w:val="1"/>
      <w:numFmt w:val="decimal"/>
      <w:lvlText w:val="%1."/>
      <w:lvlJc w:val="left"/>
      <w:pPr>
        <w:ind w:left="720" w:hanging="360"/>
      </w:pPr>
    </w:lvl>
    <w:lvl w:ilvl="1" w:tplc="E66C65F2">
      <w:start w:val="1"/>
      <w:numFmt w:val="lowerLetter"/>
      <w:lvlText w:val="%2."/>
      <w:lvlJc w:val="left"/>
      <w:pPr>
        <w:ind w:left="1440" w:hanging="360"/>
      </w:pPr>
    </w:lvl>
    <w:lvl w:ilvl="2" w:tplc="799A64F2">
      <w:start w:val="1"/>
      <w:numFmt w:val="lowerRoman"/>
      <w:lvlText w:val="%3."/>
      <w:lvlJc w:val="right"/>
      <w:pPr>
        <w:ind w:left="2160" w:hanging="180"/>
      </w:pPr>
    </w:lvl>
    <w:lvl w:ilvl="3" w:tplc="F2540C5C">
      <w:start w:val="1"/>
      <w:numFmt w:val="decimal"/>
      <w:lvlText w:val="%4."/>
      <w:lvlJc w:val="left"/>
      <w:pPr>
        <w:ind w:left="2880" w:hanging="360"/>
      </w:pPr>
    </w:lvl>
    <w:lvl w:ilvl="4" w:tplc="827AF6C8">
      <w:start w:val="1"/>
      <w:numFmt w:val="lowerLetter"/>
      <w:lvlText w:val="%5."/>
      <w:lvlJc w:val="left"/>
      <w:pPr>
        <w:ind w:left="3600" w:hanging="360"/>
      </w:pPr>
    </w:lvl>
    <w:lvl w:ilvl="5" w:tplc="F7F2C938">
      <w:start w:val="1"/>
      <w:numFmt w:val="lowerRoman"/>
      <w:lvlText w:val="%6."/>
      <w:lvlJc w:val="right"/>
      <w:pPr>
        <w:ind w:left="4320" w:hanging="180"/>
      </w:pPr>
    </w:lvl>
    <w:lvl w:ilvl="6" w:tplc="08D06568">
      <w:start w:val="1"/>
      <w:numFmt w:val="decimal"/>
      <w:lvlText w:val="%7."/>
      <w:lvlJc w:val="left"/>
      <w:pPr>
        <w:ind w:left="5040" w:hanging="360"/>
      </w:pPr>
    </w:lvl>
    <w:lvl w:ilvl="7" w:tplc="DBFE6272">
      <w:start w:val="1"/>
      <w:numFmt w:val="lowerLetter"/>
      <w:lvlText w:val="%8."/>
      <w:lvlJc w:val="left"/>
      <w:pPr>
        <w:ind w:left="5760" w:hanging="360"/>
      </w:pPr>
    </w:lvl>
    <w:lvl w:ilvl="8" w:tplc="191A4612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070DDB"/>
    <w:multiLevelType w:val="multilevel"/>
    <w:tmpl w:val="8E827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DD32734"/>
    <w:multiLevelType w:val="hybridMultilevel"/>
    <w:tmpl w:val="92B6C014"/>
    <w:lvl w:ilvl="0" w:tplc="6B5C2A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5499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10CF5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D2C7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E436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B254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2CF0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52D5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D1839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1610C2"/>
    <w:multiLevelType w:val="hybridMultilevel"/>
    <w:tmpl w:val="14DEC9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6C094A"/>
    <w:multiLevelType w:val="hybridMultilevel"/>
    <w:tmpl w:val="B518099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132765"/>
    <w:multiLevelType w:val="hybridMultilevel"/>
    <w:tmpl w:val="1AC8BFB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BAE6BEF"/>
    <w:multiLevelType w:val="hybridMultilevel"/>
    <w:tmpl w:val="F9664E9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D96E79"/>
    <w:multiLevelType w:val="hybridMultilevel"/>
    <w:tmpl w:val="BA363EE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C32248A"/>
    <w:multiLevelType w:val="hybridMultilevel"/>
    <w:tmpl w:val="166CA93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025571"/>
    <w:multiLevelType w:val="hybridMultilevel"/>
    <w:tmpl w:val="DF32FFAC"/>
    <w:lvl w:ilvl="0" w:tplc="DC44A934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22503D"/>
    <w:multiLevelType w:val="hybridMultilevel"/>
    <w:tmpl w:val="E6748AD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8330C17"/>
    <w:multiLevelType w:val="hybridMultilevel"/>
    <w:tmpl w:val="9A9A923E"/>
    <w:lvl w:ilvl="0" w:tplc="C804C0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0247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17E4B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3089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4825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E4CB0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8AD6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625D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0647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C23061"/>
    <w:multiLevelType w:val="hybridMultilevel"/>
    <w:tmpl w:val="5902156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8012EC"/>
    <w:multiLevelType w:val="hybridMultilevel"/>
    <w:tmpl w:val="E6B079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3B1C29"/>
    <w:multiLevelType w:val="hybridMultilevel"/>
    <w:tmpl w:val="BE1E3EB2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B101D3B"/>
    <w:multiLevelType w:val="multilevel"/>
    <w:tmpl w:val="10865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022227F"/>
    <w:multiLevelType w:val="hybridMultilevel"/>
    <w:tmpl w:val="52BC63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1B8EDD7"/>
    <w:multiLevelType w:val="hybridMultilevel"/>
    <w:tmpl w:val="B6685598"/>
    <w:lvl w:ilvl="0" w:tplc="3DF419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8C82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9A9F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A224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CA5B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AA9B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0209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B821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5073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56A223E"/>
    <w:multiLevelType w:val="hybridMultilevel"/>
    <w:tmpl w:val="EC865802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6" w15:restartNumberingAfterBreak="0">
    <w:nsid w:val="79F20446"/>
    <w:multiLevelType w:val="hybridMultilevel"/>
    <w:tmpl w:val="76A0324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3808443">
    <w:abstractNumId w:val="19"/>
  </w:num>
  <w:num w:numId="2" w16cid:durableId="4478177">
    <w:abstractNumId w:val="4"/>
  </w:num>
  <w:num w:numId="3" w16cid:durableId="511576133">
    <w:abstractNumId w:val="44"/>
  </w:num>
  <w:num w:numId="4" w16cid:durableId="1371800164">
    <w:abstractNumId w:val="27"/>
  </w:num>
  <w:num w:numId="5" w16cid:durableId="912550625">
    <w:abstractNumId w:val="7"/>
  </w:num>
  <w:num w:numId="6" w16cid:durableId="268977613">
    <w:abstractNumId w:val="24"/>
  </w:num>
  <w:num w:numId="7" w16cid:durableId="975378669">
    <w:abstractNumId w:val="38"/>
  </w:num>
  <w:num w:numId="8" w16cid:durableId="2023505845">
    <w:abstractNumId w:val="29"/>
  </w:num>
  <w:num w:numId="9" w16cid:durableId="748427744">
    <w:abstractNumId w:val="2"/>
  </w:num>
  <w:num w:numId="10" w16cid:durableId="859314814">
    <w:abstractNumId w:val="15"/>
  </w:num>
  <w:num w:numId="11" w16cid:durableId="257180798">
    <w:abstractNumId w:val="25"/>
  </w:num>
  <w:num w:numId="12" w16cid:durableId="264582017">
    <w:abstractNumId w:val="31"/>
  </w:num>
  <w:num w:numId="13" w16cid:durableId="138422771">
    <w:abstractNumId w:val="13"/>
  </w:num>
  <w:num w:numId="14" w16cid:durableId="356588731">
    <w:abstractNumId w:val="14"/>
  </w:num>
  <w:num w:numId="15" w16cid:durableId="513423056">
    <w:abstractNumId w:val="18"/>
  </w:num>
  <w:num w:numId="16" w16cid:durableId="1452437196">
    <w:abstractNumId w:val="41"/>
  </w:num>
  <w:num w:numId="17" w16cid:durableId="1724909551">
    <w:abstractNumId w:val="30"/>
  </w:num>
  <w:num w:numId="18" w16cid:durableId="612134402">
    <w:abstractNumId w:val="35"/>
  </w:num>
  <w:num w:numId="19" w16cid:durableId="1581210107">
    <w:abstractNumId w:val="26"/>
  </w:num>
  <w:num w:numId="20" w16cid:durableId="1133252342">
    <w:abstractNumId w:val="12"/>
  </w:num>
  <w:num w:numId="21" w16cid:durableId="1741903261">
    <w:abstractNumId w:val="33"/>
  </w:num>
  <w:num w:numId="22" w16cid:durableId="1190489344">
    <w:abstractNumId w:val="39"/>
  </w:num>
  <w:num w:numId="23" w16cid:durableId="159778161">
    <w:abstractNumId w:val="16"/>
  </w:num>
  <w:num w:numId="24" w16cid:durableId="912814351">
    <w:abstractNumId w:val="21"/>
  </w:num>
  <w:num w:numId="25" w16cid:durableId="2114475100">
    <w:abstractNumId w:val="0"/>
  </w:num>
  <w:num w:numId="26" w16cid:durableId="1668709664">
    <w:abstractNumId w:val="45"/>
  </w:num>
  <w:num w:numId="27" w16cid:durableId="1266419988">
    <w:abstractNumId w:val="28"/>
  </w:num>
  <w:num w:numId="28" w16cid:durableId="310839044">
    <w:abstractNumId w:val="5"/>
  </w:num>
  <w:num w:numId="29" w16cid:durableId="43852477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022735536">
    <w:abstractNumId w:val="43"/>
  </w:num>
  <w:num w:numId="31" w16cid:durableId="2135249476">
    <w:abstractNumId w:val="42"/>
  </w:num>
  <w:num w:numId="32" w16cid:durableId="1504466311">
    <w:abstractNumId w:val="9"/>
  </w:num>
  <w:num w:numId="33" w16cid:durableId="1595750064">
    <w:abstractNumId w:val="10"/>
  </w:num>
  <w:num w:numId="34" w16cid:durableId="475026965">
    <w:abstractNumId w:val="22"/>
  </w:num>
  <w:num w:numId="35" w16cid:durableId="1651984744">
    <w:abstractNumId w:val="17"/>
  </w:num>
  <w:num w:numId="36" w16cid:durableId="1109349193">
    <w:abstractNumId w:val="23"/>
  </w:num>
  <w:num w:numId="37" w16cid:durableId="506093479">
    <w:abstractNumId w:val="3"/>
  </w:num>
  <w:num w:numId="38" w16cid:durableId="1194416314">
    <w:abstractNumId w:val="6"/>
  </w:num>
  <w:num w:numId="39" w16cid:durableId="1492214319">
    <w:abstractNumId w:val="37"/>
  </w:num>
  <w:num w:numId="40" w16cid:durableId="1718117081">
    <w:abstractNumId w:val="34"/>
  </w:num>
  <w:num w:numId="41" w16cid:durableId="1117525951">
    <w:abstractNumId w:val="20"/>
  </w:num>
  <w:num w:numId="42" w16cid:durableId="536741790">
    <w:abstractNumId w:val="32"/>
  </w:num>
  <w:num w:numId="43" w16cid:durableId="1139540457">
    <w:abstractNumId w:val="36"/>
  </w:num>
  <w:num w:numId="44" w16cid:durableId="879709629">
    <w:abstractNumId w:val="1"/>
  </w:num>
  <w:num w:numId="45" w16cid:durableId="501362313">
    <w:abstractNumId w:val="11"/>
  </w:num>
  <w:num w:numId="46" w16cid:durableId="388505894">
    <w:abstractNumId w:val="40"/>
  </w:num>
  <w:num w:numId="47" w16cid:durableId="593321130">
    <w:abstractNumId w:val="4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431"/>
    <w:rsid w:val="0000095D"/>
    <w:rsid w:val="00002EB7"/>
    <w:rsid w:val="00012999"/>
    <w:rsid w:val="000205B4"/>
    <w:rsid w:val="0002342E"/>
    <w:rsid w:val="00041C39"/>
    <w:rsid w:val="00041DF5"/>
    <w:rsid w:val="00075FDE"/>
    <w:rsid w:val="00081C05"/>
    <w:rsid w:val="0008211F"/>
    <w:rsid w:val="000822E3"/>
    <w:rsid w:val="00083882"/>
    <w:rsid w:val="000A0863"/>
    <w:rsid w:val="000A77C7"/>
    <w:rsid w:val="000B432E"/>
    <w:rsid w:val="000B5A90"/>
    <w:rsid w:val="000E0B5C"/>
    <w:rsid w:val="000F0E0F"/>
    <w:rsid w:val="001020EC"/>
    <w:rsid w:val="00102CF4"/>
    <w:rsid w:val="00105D15"/>
    <w:rsid w:val="00106776"/>
    <w:rsid w:val="00113BA9"/>
    <w:rsid w:val="00121DC9"/>
    <w:rsid w:val="001221E1"/>
    <w:rsid w:val="00123155"/>
    <w:rsid w:val="0012430E"/>
    <w:rsid w:val="00133151"/>
    <w:rsid w:val="00133540"/>
    <w:rsid w:val="00136300"/>
    <w:rsid w:val="00140BB3"/>
    <w:rsid w:val="00152012"/>
    <w:rsid w:val="00167B27"/>
    <w:rsid w:val="001737E7"/>
    <w:rsid w:val="0018384B"/>
    <w:rsid w:val="0018593D"/>
    <w:rsid w:val="001A2288"/>
    <w:rsid w:val="001B0CFE"/>
    <w:rsid w:val="001C0D7A"/>
    <w:rsid w:val="001E3DA1"/>
    <w:rsid w:val="001F3D1D"/>
    <w:rsid w:val="00205614"/>
    <w:rsid w:val="002066C3"/>
    <w:rsid w:val="0021212E"/>
    <w:rsid w:val="00217A2A"/>
    <w:rsid w:val="00231BF5"/>
    <w:rsid w:val="002378A1"/>
    <w:rsid w:val="00241601"/>
    <w:rsid w:val="00243080"/>
    <w:rsid w:val="002469F5"/>
    <w:rsid w:val="00246C2F"/>
    <w:rsid w:val="00250B7D"/>
    <w:rsid w:val="00263B45"/>
    <w:rsid w:val="00264D3D"/>
    <w:rsid w:val="00270FCF"/>
    <w:rsid w:val="00273992"/>
    <w:rsid w:val="00285B93"/>
    <w:rsid w:val="002921EB"/>
    <w:rsid w:val="002A1D4D"/>
    <w:rsid w:val="002A20AC"/>
    <w:rsid w:val="002C22A7"/>
    <w:rsid w:val="002D0536"/>
    <w:rsid w:val="002E067E"/>
    <w:rsid w:val="002E0772"/>
    <w:rsid w:val="002E751D"/>
    <w:rsid w:val="00300F56"/>
    <w:rsid w:val="00303398"/>
    <w:rsid w:val="003036EE"/>
    <w:rsid w:val="00313A6E"/>
    <w:rsid w:val="003208F0"/>
    <w:rsid w:val="00322E79"/>
    <w:rsid w:val="00332322"/>
    <w:rsid w:val="00336234"/>
    <w:rsid w:val="0034083E"/>
    <w:rsid w:val="00342110"/>
    <w:rsid w:val="00343DCA"/>
    <w:rsid w:val="003462A9"/>
    <w:rsid w:val="00346C08"/>
    <w:rsid w:val="00373095"/>
    <w:rsid w:val="003832A3"/>
    <w:rsid w:val="0038390D"/>
    <w:rsid w:val="00385548"/>
    <w:rsid w:val="0039043E"/>
    <w:rsid w:val="003A076B"/>
    <w:rsid w:val="003A7EFB"/>
    <w:rsid w:val="003B442B"/>
    <w:rsid w:val="003C5D38"/>
    <w:rsid w:val="003E30AD"/>
    <w:rsid w:val="003F1B8D"/>
    <w:rsid w:val="004149B2"/>
    <w:rsid w:val="0041678B"/>
    <w:rsid w:val="00420BA8"/>
    <w:rsid w:val="0042158F"/>
    <w:rsid w:val="004268A9"/>
    <w:rsid w:val="00426F65"/>
    <w:rsid w:val="00442F1C"/>
    <w:rsid w:val="0044663D"/>
    <w:rsid w:val="00447E74"/>
    <w:rsid w:val="0045088E"/>
    <w:rsid w:val="00457B62"/>
    <w:rsid w:val="0046063E"/>
    <w:rsid w:val="00462CC8"/>
    <w:rsid w:val="00464101"/>
    <w:rsid w:val="00466A00"/>
    <w:rsid w:val="004712E6"/>
    <w:rsid w:val="004770AA"/>
    <w:rsid w:val="00477FA7"/>
    <w:rsid w:val="004810A4"/>
    <w:rsid w:val="004828F7"/>
    <w:rsid w:val="004B2D65"/>
    <w:rsid w:val="004C2FFD"/>
    <w:rsid w:val="004D5F3A"/>
    <w:rsid w:val="004D67DC"/>
    <w:rsid w:val="004E6D6E"/>
    <w:rsid w:val="004F24DF"/>
    <w:rsid w:val="004F272B"/>
    <w:rsid w:val="004F2A70"/>
    <w:rsid w:val="004F5279"/>
    <w:rsid w:val="00500A65"/>
    <w:rsid w:val="00506C93"/>
    <w:rsid w:val="00517627"/>
    <w:rsid w:val="005230DB"/>
    <w:rsid w:val="00532B31"/>
    <w:rsid w:val="005372E4"/>
    <w:rsid w:val="00537A94"/>
    <w:rsid w:val="005502E3"/>
    <w:rsid w:val="005523F9"/>
    <w:rsid w:val="0055297E"/>
    <w:rsid w:val="005635CD"/>
    <w:rsid w:val="00563E2D"/>
    <w:rsid w:val="00566293"/>
    <w:rsid w:val="0056762E"/>
    <w:rsid w:val="00581201"/>
    <w:rsid w:val="00582F9E"/>
    <w:rsid w:val="005841B8"/>
    <w:rsid w:val="005849BD"/>
    <w:rsid w:val="0058629A"/>
    <w:rsid w:val="00586C1B"/>
    <w:rsid w:val="005920DA"/>
    <w:rsid w:val="0059226B"/>
    <w:rsid w:val="00595257"/>
    <w:rsid w:val="00595B14"/>
    <w:rsid w:val="005C26FA"/>
    <w:rsid w:val="005C3C89"/>
    <w:rsid w:val="005C762F"/>
    <w:rsid w:val="005D62CB"/>
    <w:rsid w:val="005E3FB4"/>
    <w:rsid w:val="005E4369"/>
    <w:rsid w:val="005E757E"/>
    <w:rsid w:val="005F2F6B"/>
    <w:rsid w:val="00603D32"/>
    <w:rsid w:val="00606235"/>
    <w:rsid w:val="0061118A"/>
    <w:rsid w:val="006111D6"/>
    <w:rsid w:val="0061520A"/>
    <w:rsid w:val="006210F5"/>
    <w:rsid w:val="0062412C"/>
    <w:rsid w:val="00624324"/>
    <w:rsid w:val="00626193"/>
    <w:rsid w:val="0062792C"/>
    <w:rsid w:val="00634B3A"/>
    <w:rsid w:val="006406BF"/>
    <w:rsid w:val="006420CF"/>
    <w:rsid w:val="0064488F"/>
    <w:rsid w:val="00645223"/>
    <w:rsid w:val="00646911"/>
    <w:rsid w:val="00662BEB"/>
    <w:rsid w:val="00664A14"/>
    <w:rsid w:val="006805B1"/>
    <w:rsid w:val="00683048"/>
    <w:rsid w:val="00693BBE"/>
    <w:rsid w:val="006B155E"/>
    <w:rsid w:val="006B16B3"/>
    <w:rsid w:val="006B2F8A"/>
    <w:rsid w:val="006C1827"/>
    <w:rsid w:val="006C1C14"/>
    <w:rsid w:val="006D20B5"/>
    <w:rsid w:val="006E55A7"/>
    <w:rsid w:val="006F2108"/>
    <w:rsid w:val="00700A7E"/>
    <w:rsid w:val="00714FF5"/>
    <w:rsid w:val="007321ED"/>
    <w:rsid w:val="007461EA"/>
    <w:rsid w:val="0075533D"/>
    <w:rsid w:val="0075612D"/>
    <w:rsid w:val="007579EE"/>
    <w:rsid w:val="00782DE3"/>
    <w:rsid w:val="0078637C"/>
    <w:rsid w:val="007A2E63"/>
    <w:rsid w:val="007A35B4"/>
    <w:rsid w:val="007B0058"/>
    <w:rsid w:val="007B1997"/>
    <w:rsid w:val="007C1838"/>
    <w:rsid w:val="007C377B"/>
    <w:rsid w:val="007C6569"/>
    <w:rsid w:val="007E15E0"/>
    <w:rsid w:val="007E45AE"/>
    <w:rsid w:val="007E7286"/>
    <w:rsid w:val="007F7E57"/>
    <w:rsid w:val="00811A3B"/>
    <w:rsid w:val="0082067E"/>
    <w:rsid w:val="00830031"/>
    <w:rsid w:val="008364D6"/>
    <w:rsid w:val="00840A45"/>
    <w:rsid w:val="0084443F"/>
    <w:rsid w:val="00845A23"/>
    <w:rsid w:val="00846473"/>
    <w:rsid w:val="00846992"/>
    <w:rsid w:val="00846D25"/>
    <w:rsid w:val="00852E38"/>
    <w:rsid w:val="00855AE6"/>
    <w:rsid w:val="00857217"/>
    <w:rsid w:val="00860A43"/>
    <w:rsid w:val="00863A90"/>
    <w:rsid w:val="00865799"/>
    <w:rsid w:val="00867673"/>
    <w:rsid w:val="0087265D"/>
    <w:rsid w:val="00872691"/>
    <w:rsid w:val="008735A3"/>
    <w:rsid w:val="00880C21"/>
    <w:rsid w:val="00886F3B"/>
    <w:rsid w:val="0089556D"/>
    <w:rsid w:val="008957A1"/>
    <w:rsid w:val="008A281F"/>
    <w:rsid w:val="008B61A3"/>
    <w:rsid w:val="008B65D5"/>
    <w:rsid w:val="008C3182"/>
    <w:rsid w:val="008D3431"/>
    <w:rsid w:val="008E54AC"/>
    <w:rsid w:val="0090059C"/>
    <w:rsid w:val="0090232F"/>
    <w:rsid w:val="00911826"/>
    <w:rsid w:val="009150BF"/>
    <w:rsid w:val="009178A4"/>
    <w:rsid w:val="00930A4C"/>
    <w:rsid w:val="00934B24"/>
    <w:rsid w:val="00937624"/>
    <w:rsid w:val="00942504"/>
    <w:rsid w:val="00945D54"/>
    <w:rsid w:val="00952831"/>
    <w:rsid w:val="009612C4"/>
    <w:rsid w:val="00972A93"/>
    <w:rsid w:val="00981DBE"/>
    <w:rsid w:val="00994BCB"/>
    <w:rsid w:val="00995267"/>
    <w:rsid w:val="009A604C"/>
    <w:rsid w:val="009A7218"/>
    <w:rsid w:val="009C1117"/>
    <w:rsid w:val="009C3CCF"/>
    <w:rsid w:val="009D1C5A"/>
    <w:rsid w:val="009D4343"/>
    <w:rsid w:val="009D4D10"/>
    <w:rsid w:val="009D5FEA"/>
    <w:rsid w:val="009E7CBF"/>
    <w:rsid w:val="009F68DD"/>
    <w:rsid w:val="00A04EE8"/>
    <w:rsid w:val="00A10B3A"/>
    <w:rsid w:val="00A20AD4"/>
    <w:rsid w:val="00A2123A"/>
    <w:rsid w:val="00A2129C"/>
    <w:rsid w:val="00A2716A"/>
    <w:rsid w:val="00A308E4"/>
    <w:rsid w:val="00A31B60"/>
    <w:rsid w:val="00A34DD3"/>
    <w:rsid w:val="00A37A99"/>
    <w:rsid w:val="00A449C4"/>
    <w:rsid w:val="00A736BC"/>
    <w:rsid w:val="00A737C3"/>
    <w:rsid w:val="00A8056D"/>
    <w:rsid w:val="00A84A08"/>
    <w:rsid w:val="00A94509"/>
    <w:rsid w:val="00A95A5E"/>
    <w:rsid w:val="00AA376F"/>
    <w:rsid w:val="00AB1642"/>
    <w:rsid w:val="00AB1DA5"/>
    <w:rsid w:val="00AC065D"/>
    <w:rsid w:val="00AC0C0C"/>
    <w:rsid w:val="00AC14F7"/>
    <w:rsid w:val="00AE71B0"/>
    <w:rsid w:val="00AF4B40"/>
    <w:rsid w:val="00B0514B"/>
    <w:rsid w:val="00B053D0"/>
    <w:rsid w:val="00B120F8"/>
    <w:rsid w:val="00B144B0"/>
    <w:rsid w:val="00B17FBE"/>
    <w:rsid w:val="00B371C6"/>
    <w:rsid w:val="00B430B5"/>
    <w:rsid w:val="00B43191"/>
    <w:rsid w:val="00B4559E"/>
    <w:rsid w:val="00B54B34"/>
    <w:rsid w:val="00B64331"/>
    <w:rsid w:val="00B66395"/>
    <w:rsid w:val="00B75FC1"/>
    <w:rsid w:val="00B91063"/>
    <w:rsid w:val="00B918DB"/>
    <w:rsid w:val="00B95BCC"/>
    <w:rsid w:val="00BA400F"/>
    <w:rsid w:val="00BB0330"/>
    <w:rsid w:val="00BB0A70"/>
    <w:rsid w:val="00BB179F"/>
    <w:rsid w:val="00BC37E7"/>
    <w:rsid w:val="00BD046E"/>
    <w:rsid w:val="00BD3F73"/>
    <w:rsid w:val="00BD6E37"/>
    <w:rsid w:val="00BE0CD3"/>
    <w:rsid w:val="00BE43C2"/>
    <w:rsid w:val="00BE6AC5"/>
    <w:rsid w:val="00BE766A"/>
    <w:rsid w:val="00BF25DF"/>
    <w:rsid w:val="00BF4E5A"/>
    <w:rsid w:val="00C1167A"/>
    <w:rsid w:val="00C14AB3"/>
    <w:rsid w:val="00C15025"/>
    <w:rsid w:val="00C16E69"/>
    <w:rsid w:val="00C2062D"/>
    <w:rsid w:val="00C26F9D"/>
    <w:rsid w:val="00C31842"/>
    <w:rsid w:val="00C3663A"/>
    <w:rsid w:val="00C40491"/>
    <w:rsid w:val="00C42DF3"/>
    <w:rsid w:val="00C44058"/>
    <w:rsid w:val="00C52927"/>
    <w:rsid w:val="00C53519"/>
    <w:rsid w:val="00C600DE"/>
    <w:rsid w:val="00C6095E"/>
    <w:rsid w:val="00C64F18"/>
    <w:rsid w:val="00C819C3"/>
    <w:rsid w:val="00C838CF"/>
    <w:rsid w:val="00C84C00"/>
    <w:rsid w:val="00C9428D"/>
    <w:rsid w:val="00C95152"/>
    <w:rsid w:val="00CA0D84"/>
    <w:rsid w:val="00CB1F36"/>
    <w:rsid w:val="00CB480B"/>
    <w:rsid w:val="00CD2657"/>
    <w:rsid w:val="00CD4139"/>
    <w:rsid w:val="00CD6D19"/>
    <w:rsid w:val="00CE034F"/>
    <w:rsid w:val="00CE225F"/>
    <w:rsid w:val="00CE75BE"/>
    <w:rsid w:val="00CF0A8C"/>
    <w:rsid w:val="00CF1A22"/>
    <w:rsid w:val="00CF2E8B"/>
    <w:rsid w:val="00D05ABE"/>
    <w:rsid w:val="00D24CC1"/>
    <w:rsid w:val="00D27A4E"/>
    <w:rsid w:val="00D312DB"/>
    <w:rsid w:val="00D344D3"/>
    <w:rsid w:val="00D4051E"/>
    <w:rsid w:val="00D42349"/>
    <w:rsid w:val="00D51067"/>
    <w:rsid w:val="00D5718B"/>
    <w:rsid w:val="00D57A6E"/>
    <w:rsid w:val="00D63654"/>
    <w:rsid w:val="00D7408E"/>
    <w:rsid w:val="00D75661"/>
    <w:rsid w:val="00D81B97"/>
    <w:rsid w:val="00D81F50"/>
    <w:rsid w:val="00D906C1"/>
    <w:rsid w:val="00D9080C"/>
    <w:rsid w:val="00D946CA"/>
    <w:rsid w:val="00D95834"/>
    <w:rsid w:val="00D95EA0"/>
    <w:rsid w:val="00DA0F8A"/>
    <w:rsid w:val="00DA2592"/>
    <w:rsid w:val="00DB0C67"/>
    <w:rsid w:val="00DB3154"/>
    <w:rsid w:val="00DC094B"/>
    <w:rsid w:val="00DC559B"/>
    <w:rsid w:val="00DC6904"/>
    <w:rsid w:val="00DD0FAF"/>
    <w:rsid w:val="00DD3B7E"/>
    <w:rsid w:val="00DD66AA"/>
    <w:rsid w:val="00DD77D1"/>
    <w:rsid w:val="00DE2695"/>
    <w:rsid w:val="00DE2FBA"/>
    <w:rsid w:val="00DE5E4C"/>
    <w:rsid w:val="00DE75E6"/>
    <w:rsid w:val="00DF1EE6"/>
    <w:rsid w:val="00DF28A4"/>
    <w:rsid w:val="00DF6191"/>
    <w:rsid w:val="00E01617"/>
    <w:rsid w:val="00E01A9D"/>
    <w:rsid w:val="00E06262"/>
    <w:rsid w:val="00E1175F"/>
    <w:rsid w:val="00E154FE"/>
    <w:rsid w:val="00E20758"/>
    <w:rsid w:val="00E25D0F"/>
    <w:rsid w:val="00E27B0E"/>
    <w:rsid w:val="00E30B1E"/>
    <w:rsid w:val="00E50090"/>
    <w:rsid w:val="00E51986"/>
    <w:rsid w:val="00E547FF"/>
    <w:rsid w:val="00E64ECE"/>
    <w:rsid w:val="00E66A39"/>
    <w:rsid w:val="00E67F76"/>
    <w:rsid w:val="00E71FE6"/>
    <w:rsid w:val="00E724D6"/>
    <w:rsid w:val="00E80367"/>
    <w:rsid w:val="00E815F1"/>
    <w:rsid w:val="00E834AD"/>
    <w:rsid w:val="00E91A7E"/>
    <w:rsid w:val="00E96E7C"/>
    <w:rsid w:val="00EA6E66"/>
    <w:rsid w:val="00EC09CB"/>
    <w:rsid w:val="00EC39FA"/>
    <w:rsid w:val="00EC521F"/>
    <w:rsid w:val="00ED6234"/>
    <w:rsid w:val="00EE716F"/>
    <w:rsid w:val="00EF3DA2"/>
    <w:rsid w:val="00F06DB6"/>
    <w:rsid w:val="00F10BC4"/>
    <w:rsid w:val="00F1336C"/>
    <w:rsid w:val="00F2466D"/>
    <w:rsid w:val="00F46882"/>
    <w:rsid w:val="00F612C6"/>
    <w:rsid w:val="00F6419B"/>
    <w:rsid w:val="00F6682D"/>
    <w:rsid w:val="00F71DAA"/>
    <w:rsid w:val="00F75641"/>
    <w:rsid w:val="00F8000F"/>
    <w:rsid w:val="00F91DF7"/>
    <w:rsid w:val="00F94CFC"/>
    <w:rsid w:val="00FA7A7E"/>
    <w:rsid w:val="00FB4BD9"/>
    <w:rsid w:val="00FB6983"/>
    <w:rsid w:val="00FC254C"/>
    <w:rsid w:val="00FC7413"/>
    <w:rsid w:val="00FD6B82"/>
    <w:rsid w:val="00FF312B"/>
    <w:rsid w:val="014235F1"/>
    <w:rsid w:val="015C2F72"/>
    <w:rsid w:val="033445F3"/>
    <w:rsid w:val="041B99DB"/>
    <w:rsid w:val="049B100F"/>
    <w:rsid w:val="095A20C1"/>
    <w:rsid w:val="0DDD44E9"/>
    <w:rsid w:val="0ECF940A"/>
    <w:rsid w:val="0EE6DF72"/>
    <w:rsid w:val="10C5CF2E"/>
    <w:rsid w:val="1256D765"/>
    <w:rsid w:val="126F09DA"/>
    <w:rsid w:val="12E6EB36"/>
    <w:rsid w:val="16800662"/>
    <w:rsid w:val="184B793D"/>
    <w:rsid w:val="18C8B970"/>
    <w:rsid w:val="19EB0BCC"/>
    <w:rsid w:val="19F163F0"/>
    <w:rsid w:val="1A6E2723"/>
    <w:rsid w:val="1B7AF227"/>
    <w:rsid w:val="1C3953D3"/>
    <w:rsid w:val="20E6A6F9"/>
    <w:rsid w:val="20EB73BA"/>
    <w:rsid w:val="210EDCC6"/>
    <w:rsid w:val="221AD9BE"/>
    <w:rsid w:val="22AE572F"/>
    <w:rsid w:val="242252DF"/>
    <w:rsid w:val="25C9B852"/>
    <w:rsid w:val="273AAADA"/>
    <w:rsid w:val="284FA924"/>
    <w:rsid w:val="29F73663"/>
    <w:rsid w:val="2BD0999D"/>
    <w:rsid w:val="2EE301C6"/>
    <w:rsid w:val="30382851"/>
    <w:rsid w:val="31C506A8"/>
    <w:rsid w:val="348F1E21"/>
    <w:rsid w:val="3508226C"/>
    <w:rsid w:val="35213A0B"/>
    <w:rsid w:val="377443C0"/>
    <w:rsid w:val="37DF9E65"/>
    <w:rsid w:val="3802EFA1"/>
    <w:rsid w:val="3AC9B92C"/>
    <w:rsid w:val="3D158BF3"/>
    <w:rsid w:val="3E60EBA5"/>
    <w:rsid w:val="3F0791CC"/>
    <w:rsid w:val="41180710"/>
    <w:rsid w:val="4205F335"/>
    <w:rsid w:val="44196E2A"/>
    <w:rsid w:val="441EDAFD"/>
    <w:rsid w:val="4703410B"/>
    <w:rsid w:val="47CFA2EB"/>
    <w:rsid w:val="47F3843F"/>
    <w:rsid w:val="48BDB7BD"/>
    <w:rsid w:val="4986E201"/>
    <w:rsid w:val="49B77BC0"/>
    <w:rsid w:val="4AC10B96"/>
    <w:rsid w:val="4B912C95"/>
    <w:rsid w:val="4BA0D007"/>
    <w:rsid w:val="4CC1B91A"/>
    <w:rsid w:val="4D39532B"/>
    <w:rsid w:val="4E7D3C25"/>
    <w:rsid w:val="520C22C8"/>
    <w:rsid w:val="548F9A91"/>
    <w:rsid w:val="58C184C5"/>
    <w:rsid w:val="5B5472D7"/>
    <w:rsid w:val="5FD9FAAB"/>
    <w:rsid w:val="601983F3"/>
    <w:rsid w:val="6249EB05"/>
    <w:rsid w:val="63FF0FCF"/>
    <w:rsid w:val="65FB052B"/>
    <w:rsid w:val="69BAF6AE"/>
    <w:rsid w:val="6DDB8696"/>
    <w:rsid w:val="6FDF2150"/>
    <w:rsid w:val="71968131"/>
    <w:rsid w:val="72353C0E"/>
    <w:rsid w:val="747158E7"/>
    <w:rsid w:val="75964F85"/>
    <w:rsid w:val="7AE61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C8432AF"/>
  <w14:defaultImageDpi w14:val="300"/>
  <w15:docId w15:val="{E725E919-C6EB-4E73-870A-28E6D9284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7A94"/>
    <w:pPr>
      <w:spacing w:line="259" w:lineRule="auto"/>
    </w:pPr>
    <w:rPr>
      <w:rFonts w:ascii="Arial" w:eastAsiaTheme="minorHAnsi" w:hAnsi="Arial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2EB7"/>
    <w:pPr>
      <w:keepNext/>
      <w:keepLines/>
      <w:spacing w:before="24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2EB7"/>
    <w:pPr>
      <w:keepNext/>
      <w:keepLines/>
      <w:spacing w:before="40"/>
      <w:outlineLvl w:val="1"/>
    </w:pPr>
    <w:rPr>
      <w:rFonts w:eastAsiaTheme="majorEastAsia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42110"/>
    <w:pPr>
      <w:keepNext/>
      <w:keepLines/>
      <w:spacing w:before="40"/>
      <w:ind w:left="720"/>
      <w:outlineLvl w:val="2"/>
    </w:pPr>
    <w:rPr>
      <w:rFonts w:eastAsiaTheme="majorEastAsia" w:cstheme="majorBidi"/>
      <w:sz w:val="24"/>
      <w:szCs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462A9"/>
    <w:pPr>
      <w:keepNext/>
      <w:keepLines/>
      <w:spacing w:before="40"/>
      <w:outlineLvl w:val="3"/>
    </w:pPr>
    <w:rPr>
      <w:rFonts w:eastAsiaTheme="majorEastAsia" w:cstheme="majorBidi"/>
      <w:b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41DF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14F7"/>
    <w:pPr>
      <w:tabs>
        <w:tab w:val="center" w:pos="4320"/>
        <w:tab w:val="right" w:pos="8640"/>
      </w:tabs>
      <w:spacing w:line="240" w:lineRule="auto"/>
    </w:pPr>
    <w:rPr>
      <w:rFonts w:eastAsiaTheme="minorEastAsia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AC14F7"/>
  </w:style>
  <w:style w:type="paragraph" w:styleId="Footer">
    <w:name w:val="footer"/>
    <w:basedOn w:val="Normal"/>
    <w:link w:val="FooterChar"/>
    <w:uiPriority w:val="99"/>
    <w:unhideWhenUsed/>
    <w:rsid w:val="00AC14F7"/>
    <w:pPr>
      <w:tabs>
        <w:tab w:val="center" w:pos="4320"/>
        <w:tab w:val="right" w:pos="8640"/>
      </w:tabs>
      <w:spacing w:line="240" w:lineRule="auto"/>
    </w:pPr>
    <w:rPr>
      <w:rFonts w:eastAsiaTheme="minorEastAsia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AC14F7"/>
  </w:style>
  <w:style w:type="paragraph" w:styleId="BalloonText">
    <w:name w:val="Balloon Text"/>
    <w:basedOn w:val="Normal"/>
    <w:link w:val="BalloonTextChar"/>
    <w:uiPriority w:val="99"/>
    <w:semiHidden/>
    <w:unhideWhenUsed/>
    <w:rsid w:val="00AC14F7"/>
    <w:pPr>
      <w:spacing w:line="240" w:lineRule="auto"/>
    </w:pPr>
    <w:rPr>
      <w:rFonts w:ascii="Lucida Grande" w:eastAsiaTheme="minorEastAsia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14F7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886F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86F3B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002EB7"/>
    <w:rPr>
      <w:rFonts w:ascii="Arial" w:eastAsiaTheme="majorEastAsia" w:hAnsi="Arial" w:cstheme="majorBidi"/>
      <w:b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002EB7"/>
    <w:rPr>
      <w:rFonts w:ascii="Arial" w:eastAsiaTheme="majorEastAsia" w:hAnsi="Arial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342110"/>
    <w:rPr>
      <w:rFonts w:ascii="Arial" w:eastAsiaTheme="majorEastAsia" w:hAnsi="Arial" w:cstheme="majorBidi"/>
      <w:u w:val="single"/>
    </w:rPr>
  </w:style>
  <w:style w:type="table" w:styleId="GridTable4-Accent1">
    <w:name w:val="Grid Table 4 Accent 1"/>
    <w:basedOn w:val="TableNormal"/>
    <w:uiPriority w:val="49"/>
    <w:rsid w:val="00D906C1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E154FE"/>
    <w:rPr>
      <w:color w:val="0000FF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E154FE"/>
    <w:rPr>
      <w:color w:val="2B579A"/>
      <w:shd w:val="clear" w:color="auto" w:fill="E6E6E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7265D"/>
    <w:pPr>
      <w:spacing w:line="240" w:lineRule="auto"/>
    </w:pPr>
    <w:rPr>
      <w:rFonts w:ascii="Calibri" w:hAnsi="Calibri" w:cs="Times New Roman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7265D"/>
    <w:rPr>
      <w:rFonts w:ascii="Calibri" w:eastAsiaTheme="minorHAnsi" w:hAnsi="Calibri" w:cs="Times New Roman"/>
      <w:sz w:val="22"/>
      <w:szCs w:val="22"/>
    </w:rPr>
  </w:style>
  <w:style w:type="character" w:customStyle="1" w:styleId="A2">
    <w:name w:val="A2"/>
    <w:uiPriority w:val="99"/>
    <w:rsid w:val="002C22A7"/>
    <w:rPr>
      <w:rFonts w:cs="Avenir 35 Light"/>
      <w:color w:val="000000"/>
      <w:sz w:val="33"/>
      <w:szCs w:val="33"/>
    </w:rPr>
  </w:style>
  <w:style w:type="character" w:customStyle="1" w:styleId="A3">
    <w:name w:val="A3"/>
    <w:uiPriority w:val="99"/>
    <w:rsid w:val="002C22A7"/>
    <w:rPr>
      <w:rFonts w:cs="Avenir 35 Light"/>
      <w:color w:val="000000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447E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47E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47E74"/>
    <w:rPr>
      <w:rFonts w:ascii="Calibri Light" w:eastAsiaTheme="minorHAnsi" w:hAnsi="Calibri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7E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7E74"/>
    <w:rPr>
      <w:rFonts w:ascii="Calibri Light" w:eastAsiaTheme="minorHAnsi" w:hAnsi="Calibri Light"/>
      <w:b/>
      <w:bCs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3462A9"/>
    <w:rPr>
      <w:rFonts w:ascii="Arial" w:eastAsiaTheme="majorEastAsia" w:hAnsi="Arial" w:cstheme="majorBidi"/>
      <w:b/>
      <w:i/>
      <w:iCs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041DF5"/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1F3D1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67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0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4890">
          <w:marLeft w:val="1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01869">
          <w:marLeft w:val="1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845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903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38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6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937136">
          <w:marLeft w:val="1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8827">
          <w:marLeft w:val="1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7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thepaymentsassociation.org/payments-review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thepaymentsassociation.org/payments-intelligenc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92E571DCC9084C8123F5019936AB81" ma:contentTypeVersion="18" ma:contentTypeDescription="Create a new document." ma:contentTypeScope="" ma:versionID="16cbec0510d32c26cbf4e2b26bc79bf2">
  <xsd:schema xmlns:xsd="http://www.w3.org/2001/XMLSchema" xmlns:xs="http://www.w3.org/2001/XMLSchema" xmlns:p="http://schemas.microsoft.com/office/2006/metadata/properties" xmlns:ns2="bdd533a1-2b0e-4b27-b637-d1507f0cc980" xmlns:ns3="4a2d27f5-a3f4-482a-b4d0-32ac9c0be5e8" targetNamespace="http://schemas.microsoft.com/office/2006/metadata/properties" ma:root="true" ma:fieldsID="b79c1401db18928ae301bd804073f123" ns2:_="" ns3:_="">
    <xsd:import namespace="bdd533a1-2b0e-4b27-b637-d1507f0cc980"/>
    <xsd:import namespace="4a2d27f5-a3f4-482a-b4d0-32ac9c0be5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d533a1-2b0e-4b27-b637-d1507f0cc9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cce6a1f-6ec8-4414-8bed-c57ffd7178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d27f5-a3f4-482a-b4d0-32ac9c0be5e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8fb088d-0e83-49d1-940a-4c3a8f773006}" ma:internalName="TaxCatchAll" ma:showField="CatchAllData" ma:web="4a2d27f5-a3f4-482a-b4d0-32ac9c0be5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a2d27f5-a3f4-482a-b4d0-32ac9c0be5e8" xsi:nil="true"/>
    <lcf76f155ced4ddcb4097134ff3c332f xmlns="bdd533a1-2b0e-4b27-b637-d1507f0cc980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F255A26-29E9-4CE0-8501-E513DF3F4D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8C245A-982D-42E3-8D47-50163B0E90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d533a1-2b0e-4b27-b637-d1507f0cc980"/>
    <ds:schemaRef ds:uri="4a2d27f5-a3f4-482a-b4d0-32ac9c0be5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B365F53-A9E2-417E-8B9E-1681BDF44376}">
  <ds:schemaRefs>
    <ds:schemaRef ds:uri="http://schemas.microsoft.com/office/2006/metadata/properties"/>
    <ds:schemaRef ds:uri="http://schemas.microsoft.com/office/infopath/2007/PartnerControls"/>
    <ds:schemaRef ds:uri="4a2d27f5-a3f4-482a-b4d0-32ac9c0be5e8"/>
    <ds:schemaRef ds:uri="bdd533a1-2b0e-4b27-b637-d1507f0cc980"/>
  </ds:schemaRefs>
</ds:datastoreItem>
</file>

<file path=customXml/itemProps4.xml><?xml version="1.0" encoding="utf-8"?>
<ds:datastoreItem xmlns:ds="http://schemas.openxmlformats.org/officeDocument/2006/customXml" ds:itemID="{F483D48F-3803-4609-A5EC-8C2BB6CA8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1223</Words>
  <Characters>6976</Characters>
  <Application>Microsoft Office Word</Application>
  <DocSecurity>0</DocSecurity>
  <Lines>58</Lines>
  <Paragraphs>16</Paragraphs>
  <ScaleCrop>false</ScaleCrop>
  <Company/>
  <LinksUpToDate>false</LinksUpToDate>
  <CharactersWithSpaces>8183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Brewin</dc:creator>
  <cp:keywords/>
  <dc:description/>
  <cp:lastModifiedBy>Tom Brewin</cp:lastModifiedBy>
  <cp:revision>5</cp:revision>
  <cp:lastPrinted>2019-07-09T16:17:00Z</cp:lastPrinted>
  <dcterms:created xsi:type="dcterms:W3CDTF">2025-06-10T14:09:00Z</dcterms:created>
  <dcterms:modified xsi:type="dcterms:W3CDTF">2025-06-10T14:15:00Z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0x0101003492E571DCC9084C8123F5019936AB81</vt:lpwstr>
  </property>
  <property fmtid="{D5CDD505-2E9C-101B-9397-08002B2CF9AE}" pid="3" name="MediaServiceImageTags">
    <vt:lpwstr/>
  </property>
  <property fmtid="{D5CDD505-2E9C-101B-9397-08002B2CF9AE}" pid="4" name="GrammarlyDocumentId">
    <vt:lpwstr>a6fc9021-6146-49b1-b8c4-a9601dcd1d50</vt:lpwstr>
  </property>
</Properties>
</file>