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2950" w:rsidP="005960CA" w:rsidRDefault="005A2950" w14:paraId="686821D0" w14:textId="6DA178B3">
      <w:pPr>
        <w:pStyle w:val="Heading1"/>
      </w:pPr>
      <w:r>
        <w:t>Specification</w:t>
      </w:r>
      <w:r w:rsidR="00662610">
        <w:t xml:space="preserve">: </w:t>
      </w:r>
      <w:r>
        <w:t>Project ESG</w:t>
      </w:r>
    </w:p>
    <w:p w:rsidR="007A3E34" w:rsidP="007A3E34" w:rsidRDefault="007A3E34" w14:paraId="0889B84C" w14:textId="77777777">
      <w:pPr>
        <w:pStyle w:val="Heading2"/>
      </w:pPr>
    </w:p>
    <w:p w:rsidR="005960CA" w:rsidP="005960CA" w:rsidRDefault="005960CA" w14:paraId="464E0512" w14:textId="77777777">
      <w:pPr>
        <w:pStyle w:val="Heading2"/>
      </w:pPr>
      <w:r>
        <w:t>Project Roles</w:t>
      </w:r>
    </w:p>
    <w:p w:rsidR="005960CA" w:rsidP="009B036B" w:rsidRDefault="005960CA" w14:paraId="3A2570EF" w14:textId="77777777">
      <w:pPr>
        <w:pStyle w:val="ListParagraph"/>
        <w:numPr>
          <w:ilvl w:val="0"/>
          <w:numId w:val="28"/>
        </w:numPr>
      </w:pPr>
      <w:r>
        <w:t>Project Mentor: TBC</w:t>
      </w:r>
    </w:p>
    <w:p w:rsidR="005960CA" w:rsidP="009B036B" w:rsidRDefault="005960CA" w14:paraId="496A6228" w14:textId="77777777">
      <w:pPr>
        <w:pStyle w:val="ListParagraph"/>
        <w:numPr>
          <w:ilvl w:val="0"/>
          <w:numId w:val="28"/>
        </w:numPr>
      </w:pPr>
      <w:r>
        <w:t>Project Lead: TBC</w:t>
      </w:r>
    </w:p>
    <w:p w:rsidR="005960CA" w:rsidP="009B036B" w:rsidRDefault="005960CA" w14:paraId="11447080" w14:textId="77777777">
      <w:pPr>
        <w:pStyle w:val="ListParagraph"/>
        <w:numPr>
          <w:ilvl w:val="0"/>
          <w:numId w:val="28"/>
        </w:numPr>
      </w:pPr>
      <w:r>
        <w:t>Benefactor: TBC</w:t>
      </w:r>
    </w:p>
    <w:p w:rsidR="005960CA" w:rsidP="009B036B" w:rsidRDefault="005960CA" w14:paraId="099C9B6C" w14:textId="77777777">
      <w:pPr>
        <w:pStyle w:val="ListParagraph"/>
        <w:numPr>
          <w:ilvl w:val="0"/>
          <w:numId w:val="28"/>
        </w:numPr>
      </w:pPr>
      <w:r>
        <w:t>TPA Head of Projects: Tom Brewin</w:t>
      </w:r>
    </w:p>
    <w:p w:rsidRPr="005960CA" w:rsidR="005960CA" w:rsidP="005960CA" w:rsidRDefault="005960CA" w14:paraId="1A2987DE" w14:textId="77777777"/>
    <w:p w:rsidR="005A2950" w:rsidP="007A3E34" w:rsidRDefault="005A2950" w14:paraId="0D2B48C6" w14:textId="517EDAE8">
      <w:pPr>
        <w:pStyle w:val="Heading2"/>
      </w:pPr>
      <w:r>
        <w:t xml:space="preserve">Project </w:t>
      </w:r>
      <w:r w:rsidR="00AA0C71">
        <w:t>p</w:t>
      </w:r>
      <w:r>
        <w:t>urpose</w:t>
      </w:r>
    </w:p>
    <w:p w:rsidR="00D757C1" w:rsidP="008874EC" w:rsidRDefault="004155D4" w14:paraId="28E49DEA" w14:textId="1C93F632">
      <w:pPr>
        <w:ind w:right="643"/>
      </w:pPr>
      <w:r>
        <w:t xml:space="preserve">The purpose of </w:t>
      </w:r>
      <w:r w:rsidR="005A2950">
        <w:t xml:space="preserve">Project </w:t>
      </w:r>
      <w:r w:rsidR="003C71CB">
        <w:t>ESG</w:t>
      </w:r>
      <w:r w:rsidR="005A2950">
        <w:t xml:space="preserve"> </w:t>
      </w:r>
      <w:r>
        <w:t xml:space="preserve">is to </w:t>
      </w:r>
      <w:r w:rsidR="00CE43F1">
        <w:t>e</w:t>
      </w:r>
      <w:r w:rsidR="009D7BD7">
        <w:t xml:space="preserve">ncourage companies in the payments industry to adopt progressive strategies for </w:t>
      </w:r>
      <w:r w:rsidR="009F5312">
        <w:t xml:space="preserve">how they impact the environment, </w:t>
      </w:r>
      <w:r w:rsidR="0008733B">
        <w:t xml:space="preserve">our </w:t>
      </w:r>
      <w:proofErr w:type="gramStart"/>
      <w:r w:rsidR="009F5312">
        <w:t>society</w:t>
      </w:r>
      <w:proofErr w:type="gramEnd"/>
      <w:r w:rsidR="009F5312">
        <w:t xml:space="preserve"> and </w:t>
      </w:r>
      <w:r w:rsidR="0008733B">
        <w:t xml:space="preserve">their </w:t>
      </w:r>
      <w:r w:rsidR="009F5312">
        <w:t xml:space="preserve">governance </w:t>
      </w:r>
      <w:r w:rsidR="00EF72C9">
        <w:t>in a sustainable way.</w:t>
      </w:r>
    </w:p>
    <w:p w:rsidR="007A3E34" w:rsidP="007A3E34" w:rsidRDefault="007A3E34" w14:paraId="2F3110CB" w14:textId="77777777">
      <w:pPr>
        <w:pStyle w:val="Heading2"/>
      </w:pPr>
    </w:p>
    <w:p w:rsidR="00E05C22" w:rsidP="005960CA" w:rsidRDefault="005A2950" w14:paraId="4BC6EE89" w14:textId="33C30D69">
      <w:pPr>
        <w:pStyle w:val="Heading2"/>
      </w:pPr>
      <w:r>
        <w:t xml:space="preserve">Project </w:t>
      </w:r>
      <w:r w:rsidR="005960CA">
        <w:t>O</w:t>
      </w:r>
      <w:r>
        <w:t>bjectives</w:t>
      </w:r>
    </w:p>
    <w:p w:rsidRPr="009B036B" w:rsidR="009B036B" w:rsidP="009B036B" w:rsidRDefault="009B036B" w14:paraId="52FFF049" w14:textId="77777777"/>
    <w:p w:rsidRPr="009B036B" w:rsidR="009B036B" w:rsidP="009B036B" w:rsidRDefault="00E05C22" w14:paraId="1825F058" w14:textId="6C5D37CA">
      <w:pPr>
        <w:pStyle w:val="Heading3"/>
      </w:pPr>
      <w:r>
        <w:t>Society and Governance</w:t>
      </w:r>
    </w:p>
    <w:p w:rsidR="004D544F" w:rsidP="00D757C1" w:rsidRDefault="00570C38" w14:paraId="7175F6AD" w14:textId="35E16DCD">
      <w:pPr>
        <w:ind w:right="643"/>
        <w:rPr>
          <w:color w:val="000000"/>
        </w:rPr>
      </w:pPr>
      <w:r>
        <w:rPr>
          <w:color w:val="000000"/>
        </w:rPr>
        <w:t>Project ESG</w:t>
      </w:r>
      <w:r w:rsidR="00D757C1">
        <w:rPr>
          <w:color w:val="000000"/>
        </w:rPr>
        <w:t xml:space="preserve"> </w:t>
      </w:r>
      <w:r w:rsidR="003C79D2">
        <w:rPr>
          <w:color w:val="000000"/>
        </w:rPr>
        <w:t>will focus on</w:t>
      </w:r>
      <w:r w:rsidR="00D757C1">
        <w:rPr>
          <w:color w:val="000000"/>
        </w:rPr>
        <w:t xml:space="preserve"> </w:t>
      </w:r>
      <w:r w:rsidR="004A1927">
        <w:rPr>
          <w:color w:val="000000"/>
        </w:rPr>
        <w:t xml:space="preserve">aspects of ‘society’ and ‘governance’ that </w:t>
      </w:r>
      <w:r w:rsidR="0087000A">
        <w:rPr>
          <w:color w:val="000000"/>
        </w:rPr>
        <w:t>are</w:t>
      </w:r>
      <w:r w:rsidR="00725BB1">
        <w:rPr>
          <w:color w:val="000000"/>
        </w:rPr>
        <w:t xml:space="preserve"> close to home</w:t>
      </w:r>
      <w:r w:rsidR="0087000A">
        <w:rPr>
          <w:color w:val="000000"/>
        </w:rPr>
        <w:t xml:space="preserve"> and that we can affect directly</w:t>
      </w:r>
      <w:r w:rsidR="00725BB1">
        <w:rPr>
          <w:color w:val="000000"/>
        </w:rPr>
        <w:t xml:space="preserve">: </w:t>
      </w:r>
      <w:r w:rsidR="00CF4AEB">
        <w:rPr>
          <w:color w:val="000000"/>
        </w:rPr>
        <w:t xml:space="preserve">who and how we select, </w:t>
      </w:r>
      <w:r w:rsidR="00DA21BE">
        <w:rPr>
          <w:color w:val="000000"/>
        </w:rPr>
        <w:t xml:space="preserve">recruit, </w:t>
      </w:r>
      <w:r w:rsidR="00CF4AEB">
        <w:rPr>
          <w:color w:val="000000"/>
        </w:rPr>
        <w:t>manage</w:t>
      </w:r>
      <w:r w:rsidR="004D544F">
        <w:rPr>
          <w:color w:val="000000"/>
        </w:rPr>
        <w:t>,</w:t>
      </w:r>
      <w:r w:rsidR="00CF4AEB">
        <w:rPr>
          <w:color w:val="000000"/>
        </w:rPr>
        <w:t xml:space="preserve"> </w:t>
      </w:r>
      <w:proofErr w:type="gramStart"/>
      <w:r w:rsidR="00CF4AEB">
        <w:rPr>
          <w:color w:val="000000"/>
        </w:rPr>
        <w:t>motivate</w:t>
      </w:r>
      <w:proofErr w:type="gramEnd"/>
      <w:r w:rsidR="00CF4AEB">
        <w:rPr>
          <w:color w:val="000000"/>
        </w:rPr>
        <w:t xml:space="preserve"> and reward </w:t>
      </w:r>
      <w:r w:rsidR="00725BB1">
        <w:rPr>
          <w:color w:val="000000"/>
        </w:rPr>
        <w:t xml:space="preserve">the people </w:t>
      </w:r>
      <w:r w:rsidR="00DA21BE">
        <w:rPr>
          <w:color w:val="000000"/>
        </w:rPr>
        <w:t xml:space="preserve">we </w:t>
      </w:r>
      <w:r w:rsidR="0087000A">
        <w:rPr>
          <w:color w:val="000000"/>
        </w:rPr>
        <w:t>e</w:t>
      </w:r>
      <w:r w:rsidR="00725BB1">
        <w:rPr>
          <w:color w:val="000000"/>
        </w:rPr>
        <w:t xml:space="preserve">mploy. </w:t>
      </w:r>
    </w:p>
    <w:p w:rsidR="004D544F" w:rsidP="00D757C1" w:rsidRDefault="004D544F" w14:paraId="714A5555" w14:textId="77777777">
      <w:pPr>
        <w:ind w:right="643"/>
        <w:rPr>
          <w:color w:val="000000"/>
        </w:rPr>
      </w:pPr>
    </w:p>
    <w:p w:rsidR="00D757C1" w:rsidP="00D757C1" w:rsidRDefault="004D544F" w14:paraId="7DC70F06" w14:textId="1B6AB316">
      <w:pPr>
        <w:ind w:right="643"/>
      </w:pPr>
      <w:r>
        <w:rPr>
          <w:color w:val="000000"/>
        </w:rPr>
        <w:t>In 2023 t</w:t>
      </w:r>
      <w:r w:rsidR="0087000A">
        <w:rPr>
          <w:color w:val="000000"/>
        </w:rPr>
        <w:t>he Project set</w:t>
      </w:r>
      <w:r w:rsidR="00A93D90">
        <w:rPr>
          <w:color w:val="000000"/>
        </w:rPr>
        <w:t>s</w:t>
      </w:r>
      <w:r w:rsidR="0087000A">
        <w:rPr>
          <w:color w:val="000000"/>
        </w:rPr>
        <w:t xml:space="preserve"> out to</w:t>
      </w:r>
      <w:r w:rsidR="004A1927">
        <w:rPr>
          <w:color w:val="000000"/>
        </w:rPr>
        <w:t xml:space="preserve"> </w:t>
      </w:r>
      <w:r w:rsidR="00D757C1">
        <w:rPr>
          <w:color w:val="000000"/>
        </w:rPr>
        <w:t>achiev</w:t>
      </w:r>
      <w:r w:rsidR="0087000A">
        <w:rPr>
          <w:color w:val="000000"/>
        </w:rPr>
        <w:t>e</w:t>
      </w:r>
      <w:r w:rsidR="00D757C1">
        <w:rPr>
          <w:color w:val="000000"/>
        </w:rPr>
        <w:t xml:space="preserve"> the </w:t>
      </w:r>
      <w:r w:rsidR="00392EC9">
        <w:rPr>
          <w:color w:val="000000"/>
        </w:rPr>
        <w:t>community’s</w:t>
      </w:r>
      <w:r w:rsidR="00D757C1">
        <w:rPr>
          <w:color w:val="000000"/>
        </w:rPr>
        <w:t xml:space="preserve"> vision for Equity, Equality, </w:t>
      </w:r>
      <w:proofErr w:type="gramStart"/>
      <w:r w:rsidR="00D757C1">
        <w:rPr>
          <w:color w:val="000000"/>
        </w:rPr>
        <w:t>Diversity</w:t>
      </w:r>
      <w:proofErr w:type="gramEnd"/>
      <w:r w:rsidR="00D757C1">
        <w:rPr>
          <w:color w:val="000000"/>
        </w:rPr>
        <w:t xml:space="preserve"> and Inclusion</w:t>
      </w:r>
      <w:r w:rsidR="0008733B">
        <w:rPr>
          <w:color w:val="000000"/>
        </w:rPr>
        <w:t xml:space="preserve"> (EEDI)</w:t>
      </w:r>
      <w:r w:rsidR="00D757C1">
        <w:rPr>
          <w:color w:val="000000"/>
        </w:rPr>
        <w:t xml:space="preserve">, </w:t>
      </w:r>
      <w:r w:rsidR="004D59C9">
        <w:rPr>
          <w:color w:val="000000"/>
        </w:rPr>
        <w:t xml:space="preserve">which is </w:t>
      </w:r>
      <w:r w:rsidR="00D757C1">
        <w:t xml:space="preserve">that </w:t>
      </w:r>
      <w:r w:rsidR="00A93D90">
        <w:t>‘</w:t>
      </w:r>
      <w:r w:rsidRPr="00322852" w:rsidR="00D757C1">
        <w:t>organisations in the payments industry approach equity, equality, diversity and inclusion in a way that delivers valuable benefits to all</w:t>
      </w:r>
      <w:r w:rsidR="00A93D90">
        <w:t>’</w:t>
      </w:r>
      <w:r w:rsidR="00D757C1">
        <w:t>.</w:t>
      </w:r>
    </w:p>
    <w:p w:rsidR="00F40837" w:rsidP="00D757C1" w:rsidRDefault="00F40837" w14:paraId="7F69DE25" w14:textId="77777777">
      <w:pPr>
        <w:ind w:right="643"/>
      </w:pPr>
    </w:p>
    <w:p w:rsidR="00951787" w:rsidP="00D757C1" w:rsidRDefault="00DC6A5E" w14:paraId="3DF8424D" w14:textId="22E135CB">
      <w:pPr>
        <w:ind w:right="643"/>
      </w:pPr>
      <w:r>
        <w:t>In this context, we define EEDI as</w:t>
      </w:r>
      <w:r w:rsidR="004D59C9">
        <w:t xml:space="preserve"> follows</w:t>
      </w:r>
      <w:r>
        <w:t>:</w:t>
      </w:r>
    </w:p>
    <w:p w:rsidRPr="00DC6A5E" w:rsidR="00DC6A5E" w:rsidP="00DC6A5E" w:rsidRDefault="00DC6A5E" w14:paraId="76946403" w14:textId="77777777">
      <w:pPr>
        <w:numPr>
          <w:ilvl w:val="0"/>
          <w:numId w:val="17"/>
        </w:numPr>
        <w:ind w:right="643"/>
        <w:rPr>
          <w:lang w:val="en-GB"/>
        </w:rPr>
      </w:pPr>
      <w:r w:rsidRPr="00DC6A5E">
        <w:rPr>
          <w:b/>
          <w:bCs/>
          <w:lang w:val="en-GB"/>
        </w:rPr>
        <w:t>Diversity</w:t>
      </w:r>
      <w:r w:rsidRPr="00DC6A5E">
        <w:rPr>
          <w:lang w:val="en-GB"/>
        </w:rPr>
        <w:t xml:space="preserve"> is the difference in race, ethnicity, gender, religion, age, sexual orientation and socioeconomic status or background that makes each of us who we are</w:t>
      </w:r>
    </w:p>
    <w:p w:rsidRPr="00DC6A5E" w:rsidR="00DC6A5E" w:rsidP="00DC6A5E" w:rsidRDefault="00DC6A5E" w14:paraId="35CDAC05" w14:textId="77777777">
      <w:pPr>
        <w:numPr>
          <w:ilvl w:val="0"/>
          <w:numId w:val="17"/>
        </w:numPr>
        <w:ind w:right="643"/>
        <w:rPr>
          <w:lang w:val="en-GB"/>
        </w:rPr>
      </w:pPr>
      <w:r w:rsidRPr="00DC6A5E">
        <w:rPr>
          <w:b/>
          <w:bCs/>
          <w:lang w:val="en-GB"/>
        </w:rPr>
        <w:t>Equality</w:t>
      </w:r>
      <w:r w:rsidRPr="00DC6A5E">
        <w:rPr>
          <w:lang w:val="en-GB"/>
        </w:rPr>
        <w:t xml:space="preserve"> is the treatment of reward, status, </w:t>
      </w:r>
      <w:proofErr w:type="gramStart"/>
      <w:r w:rsidRPr="00DC6A5E">
        <w:rPr>
          <w:lang w:val="en-GB"/>
        </w:rPr>
        <w:t>rights</w:t>
      </w:r>
      <w:proofErr w:type="gramEnd"/>
      <w:r w:rsidRPr="00DC6A5E">
        <w:rPr>
          <w:lang w:val="en-GB"/>
        </w:rPr>
        <w:t xml:space="preserve"> and opportunities in an equal way irrespective of our diversity</w:t>
      </w:r>
    </w:p>
    <w:p w:rsidRPr="00DC6A5E" w:rsidR="00DC6A5E" w:rsidP="00DC6A5E" w:rsidRDefault="00DC6A5E" w14:paraId="2E4D0912" w14:textId="77777777">
      <w:pPr>
        <w:numPr>
          <w:ilvl w:val="0"/>
          <w:numId w:val="17"/>
        </w:numPr>
        <w:ind w:right="643"/>
        <w:rPr>
          <w:lang w:val="en-GB"/>
        </w:rPr>
      </w:pPr>
      <w:r w:rsidRPr="00DC6A5E">
        <w:rPr>
          <w:b/>
          <w:bCs/>
          <w:lang w:val="en-GB"/>
        </w:rPr>
        <w:t xml:space="preserve">Equity </w:t>
      </w:r>
      <w:r w:rsidRPr="00DC6A5E">
        <w:rPr>
          <w:lang w:val="en-GB"/>
        </w:rPr>
        <w:t xml:space="preserve">is the fair treatment, </w:t>
      </w:r>
      <w:proofErr w:type="gramStart"/>
      <w:r w:rsidRPr="00DC6A5E">
        <w:rPr>
          <w:lang w:val="en-GB"/>
        </w:rPr>
        <w:t>access</w:t>
      </w:r>
      <w:proofErr w:type="gramEnd"/>
      <w:r w:rsidRPr="00DC6A5E">
        <w:rPr>
          <w:lang w:val="en-GB"/>
        </w:rPr>
        <w:t xml:space="preserve"> and advancement we provide to ensure we can all be the best we can be</w:t>
      </w:r>
    </w:p>
    <w:p w:rsidR="00DC6A5E" w:rsidP="00D757C1" w:rsidRDefault="00DC6A5E" w14:paraId="0FF95BD7" w14:textId="4B21C82C">
      <w:pPr>
        <w:numPr>
          <w:ilvl w:val="0"/>
          <w:numId w:val="17"/>
        </w:numPr>
        <w:ind w:right="643"/>
        <w:rPr>
          <w:lang w:val="en-GB"/>
        </w:rPr>
      </w:pPr>
      <w:r w:rsidRPr="00DC6A5E">
        <w:rPr>
          <w:b/>
          <w:bCs/>
          <w:lang w:val="en-GB"/>
        </w:rPr>
        <w:t>Inclusion</w:t>
      </w:r>
      <w:r w:rsidRPr="00DC6A5E">
        <w:rPr>
          <w:lang w:val="en-GB"/>
        </w:rPr>
        <w:t xml:space="preserve"> is the practice of enabling everyone to bring their full, authentic selves to work as a place people feel they truly belong</w:t>
      </w:r>
      <w:r w:rsidR="00E8762D">
        <w:rPr>
          <w:lang w:val="en-GB"/>
        </w:rPr>
        <w:t xml:space="preserve"> and are included</w:t>
      </w:r>
    </w:p>
    <w:p w:rsidR="00E05C22" w:rsidP="00E05C22" w:rsidRDefault="00E05C22" w14:paraId="6A0911BB" w14:textId="78FA134A">
      <w:pPr>
        <w:ind w:right="643"/>
        <w:rPr>
          <w:lang w:val="en-GB"/>
        </w:rPr>
      </w:pPr>
    </w:p>
    <w:p w:rsidR="00E05C22" w:rsidP="00E05C22" w:rsidRDefault="00D66F6F" w14:paraId="2CC2EE5A" w14:textId="5310C58A">
      <w:pPr>
        <w:ind w:right="643"/>
        <w:rPr>
          <w:rStyle w:val="Heading3Char"/>
        </w:rPr>
      </w:pPr>
      <w:r>
        <w:rPr>
          <w:rStyle w:val="Heading3Char"/>
        </w:rPr>
        <w:t>Environment</w:t>
      </w:r>
    </w:p>
    <w:p w:rsidR="00AD46FD" w:rsidP="00E05C22" w:rsidRDefault="00AD46FD" w14:paraId="0C47E690" w14:textId="437AD39A">
      <w:pPr>
        <w:ind w:right="643"/>
        <w:rPr>
          <w:lang w:val="en-GB"/>
        </w:rPr>
      </w:pPr>
      <w:r>
        <w:rPr>
          <w:lang w:val="en-GB"/>
        </w:rPr>
        <w:t xml:space="preserve">Project ESG will </w:t>
      </w:r>
      <w:r w:rsidR="00F67B4C">
        <w:rPr>
          <w:lang w:val="en-GB"/>
        </w:rPr>
        <w:t xml:space="preserve">also </w:t>
      </w:r>
      <w:r>
        <w:rPr>
          <w:lang w:val="en-GB"/>
        </w:rPr>
        <w:t>focus on the ‘environment’ aspect of ESG, encouraging our members and the wider industry</w:t>
      </w:r>
      <w:r w:rsidR="00F67B4C">
        <w:rPr>
          <w:lang w:val="en-GB"/>
        </w:rPr>
        <w:t xml:space="preserve"> to adopt sustainable financial practices. It </w:t>
      </w:r>
      <w:r w:rsidR="00665021">
        <w:rPr>
          <w:lang w:val="en-GB"/>
        </w:rPr>
        <w:t>will be important to consider</w:t>
      </w:r>
      <w:r w:rsidR="00F67B4C">
        <w:rPr>
          <w:lang w:val="en-GB"/>
        </w:rPr>
        <w:t xml:space="preserve"> </w:t>
      </w:r>
      <w:r w:rsidR="003C5222">
        <w:rPr>
          <w:lang w:val="en-GB"/>
        </w:rPr>
        <w:t>how our</w:t>
      </w:r>
      <w:r>
        <w:rPr>
          <w:lang w:val="en-GB"/>
        </w:rPr>
        <w:t xml:space="preserve"> industry </w:t>
      </w:r>
      <w:r w:rsidR="003C5222">
        <w:rPr>
          <w:lang w:val="en-GB"/>
        </w:rPr>
        <w:t xml:space="preserve">has </w:t>
      </w:r>
      <w:r>
        <w:rPr>
          <w:lang w:val="en-GB"/>
        </w:rPr>
        <w:t>moved on since</w:t>
      </w:r>
      <w:r w:rsidR="003C5222">
        <w:rPr>
          <w:lang w:val="en-GB"/>
        </w:rPr>
        <w:t xml:space="preserve"> The Payments Association’s</w:t>
      </w:r>
      <w:r>
        <w:rPr>
          <w:lang w:val="en-GB"/>
        </w:rPr>
        <w:t xml:space="preserve"> ‘</w:t>
      </w:r>
      <w:hyperlink w:history="1" r:id="rId11">
        <w:r w:rsidRPr="00FB556D">
          <w:rPr>
            <w:rStyle w:val="Hyperlink"/>
            <w:lang w:val="en-GB"/>
          </w:rPr>
          <w:t>Sustainability Superheroes’</w:t>
        </w:r>
      </w:hyperlink>
      <w:r>
        <w:rPr>
          <w:lang w:val="en-GB"/>
        </w:rPr>
        <w:t xml:space="preserve"> </w:t>
      </w:r>
      <w:r w:rsidR="003C5222">
        <w:rPr>
          <w:lang w:val="en-GB"/>
        </w:rPr>
        <w:t>whitepaper published i</w:t>
      </w:r>
      <w:r>
        <w:rPr>
          <w:lang w:val="en-GB"/>
        </w:rPr>
        <w:t>n June 2022</w:t>
      </w:r>
      <w:r w:rsidR="002F4F0E">
        <w:rPr>
          <w:lang w:val="en-GB"/>
        </w:rPr>
        <w:t>.</w:t>
      </w:r>
    </w:p>
    <w:p w:rsidR="007A3E34" w:rsidP="007A3E34" w:rsidRDefault="007A3E34" w14:paraId="1CFBC6D4" w14:textId="77777777">
      <w:pPr>
        <w:pStyle w:val="Heading2"/>
      </w:pPr>
    </w:p>
    <w:p w:rsidR="00AA0C71" w:rsidP="007A3E34" w:rsidRDefault="00AA0C71" w14:paraId="3472AAAD" w14:textId="085E1943">
      <w:pPr>
        <w:pStyle w:val="Heading2"/>
      </w:pPr>
      <w:r>
        <w:t>Our approach</w:t>
      </w:r>
    </w:p>
    <w:p w:rsidR="00263A7A" w:rsidP="00AA0C71" w:rsidRDefault="00AA0C71" w14:paraId="29E32A88" w14:textId="05E3DF8B">
      <w:pPr>
        <w:ind w:right="643"/>
      </w:pPr>
      <w:r>
        <w:t>With the support of a Benefactor</w:t>
      </w:r>
      <w:r w:rsidR="001604B1">
        <w:t>,</w:t>
      </w:r>
      <w:r>
        <w:t xml:space="preserve"> and volunteers</w:t>
      </w:r>
      <w:r w:rsidR="001604B1">
        <w:t xml:space="preserve"> from our community, Project ESG will work together to</w:t>
      </w:r>
      <w:r>
        <w:t xml:space="preserve"> deliver a twelve-month </w:t>
      </w:r>
      <w:proofErr w:type="spellStart"/>
      <w:r>
        <w:t>program</w:t>
      </w:r>
      <w:r w:rsidRPr="00AA0C71">
        <w:t>me</w:t>
      </w:r>
      <w:proofErr w:type="spellEnd"/>
      <w:r w:rsidRPr="00AA0C71">
        <w:t xml:space="preserve"> </w:t>
      </w:r>
      <w:r>
        <w:t xml:space="preserve">that </w:t>
      </w:r>
      <w:r w:rsidR="008A0839">
        <w:t>explores</w:t>
      </w:r>
      <w:r w:rsidR="00984E91">
        <w:t xml:space="preserve"> how EEDI can be driven</w:t>
      </w:r>
      <w:r w:rsidR="00D856EF">
        <w:t xml:space="preserve"> internally</w:t>
      </w:r>
      <w:r w:rsidR="00984E91">
        <w:t xml:space="preserve"> through</w:t>
      </w:r>
      <w:r w:rsidR="008A0839">
        <w:t xml:space="preserve"> </w:t>
      </w:r>
      <w:r>
        <w:t>r</w:t>
      </w:r>
      <w:r w:rsidRPr="00AA0C71">
        <w:t>ecruitment, learning and development, events, website, Employee Value Proposition</w:t>
      </w:r>
      <w:r w:rsidR="00984E91">
        <w:t>s</w:t>
      </w:r>
      <w:r w:rsidRPr="00AA0C71">
        <w:t xml:space="preserve">, </w:t>
      </w:r>
      <w:proofErr w:type="gramStart"/>
      <w:r w:rsidRPr="00AA0C71">
        <w:t>communication</w:t>
      </w:r>
      <w:proofErr w:type="gramEnd"/>
      <w:r w:rsidRPr="00AA0C71">
        <w:t xml:space="preserve"> and induction/onboarding</w:t>
      </w:r>
      <w:r w:rsidR="00D66F6F">
        <w:t>.</w:t>
      </w:r>
      <w:r w:rsidR="00984E91">
        <w:t xml:space="preserve"> Beyond this, Project ESG will </w:t>
      </w:r>
      <w:r w:rsidR="00A25630">
        <w:t xml:space="preserve">share </w:t>
      </w:r>
      <w:r w:rsidR="00F22DF0">
        <w:t xml:space="preserve">best practice </w:t>
      </w:r>
      <w:r w:rsidR="0062193E">
        <w:t xml:space="preserve">on how to </w:t>
      </w:r>
      <w:r w:rsidR="006E2FBC">
        <w:t>better address</w:t>
      </w:r>
      <w:r w:rsidR="00380746">
        <w:t xml:space="preserve"> sustainability goals </w:t>
      </w:r>
      <w:r w:rsidR="00F22DF0">
        <w:t>with ou</w:t>
      </w:r>
      <w:r w:rsidR="0062193E">
        <w:t>r community and the wider industry</w:t>
      </w:r>
      <w:r w:rsidR="00D856EF">
        <w:t>.</w:t>
      </w:r>
    </w:p>
    <w:p w:rsidR="007A3E34" w:rsidP="00AA0C71" w:rsidRDefault="007A3E34" w14:paraId="16AA5C6F" w14:textId="77777777">
      <w:pPr>
        <w:ind w:right="643"/>
      </w:pPr>
    </w:p>
    <w:p w:rsidR="007A3E34" w:rsidP="007A3E34" w:rsidRDefault="007A3E34" w14:paraId="0536A61D" w14:textId="4D606FC6">
      <w:pPr>
        <w:pStyle w:val="Heading2"/>
      </w:pPr>
      <w:r>
        <w:lastRenderedPageBreak/>
        <w:t xml:space="preserve">The </w:t>
      </w:r>
      <w:proofErr w:type="spellStart"/>
      <w:r>
        <w:t>programme</w:t>
      </w:r>
      <w:proofErr w:type="spellEnd"/>
      <w:r w:rsidR="005061E7">
        <w:t xml:space="preserve"> (H1 20</w:t>
      </w:r>
      <w:r w:rsidR="00B45431">
        <w:t>23)</w:t>
      </w:r>
    </w:p>
    <w:p w:rsidR="003C22A2" w:rsidP="00FB72A2" w:rsidRDefault="00FB601E" w14:paraId="46F46B57" w14:textId="71FDBA29">
      <w:r>
        <w:t xml:space="preserve">In 2022 the Payment Association’s Sprint Diversity generated a programme of activities </w:t>
      </w:r>
      <w:r w:rsidR="005327AA">
        <w:t>that would achieve an EEDI vision for the payments industry. This programme is likely to make up the bulk of what is delivered within Project ESG within 2023, and its components are listed below.</w:t>
      </w:r>
    </w:p>
    <w:p w:rsidR="003C22A2" w:rsidP="00FB72A2" w:rsidRDefault="003C22A2" w14:paraId="470A9903" w14:textId="77777777"/>
    <w:p w:rsidRPr="00FB72A2" w:rsidR="00FE0186" w:rsidP="00FE0186" w:rsidRDefault="00FE0186" w14:paraId="6D8CE932" w14:textId="77777777">
      <w:pPr>
        <w:pStyle w:val="ListParagraph"/>
        <w:numPr>
          <w:ilvl w:val="0"/>
          <w:numId w:val="18"/>
        </w:numPr>
        <w:rPr>
          <w:rFonts w:cs="Arial"/>
          <w:b/>
          <w:bCs/>
        </w:rPr>
      </w:pPr>
      <w:r w:rsidRPr="00FB72A2">
        <w:rPr>
          <w:rFonts w:cs="Arial"/>
          <w:b/>
          <w:bCs/>
        </w:rPr>
        <w:t>Strategy</w:t>
      </w:r>
    </w:p>
    <w:p w:rsidR="006B085E" w:rsidP="006B085E" w:rsidRDefault="00147653" w14:paraId="437EDD71" w14:textId="77777777">
      <w:pPr>
        <w:pStyle w:val="ListParagraph"/>
        <w:numPr>
          <w:ilvl w:val="0"/>
          <w:numId w:val="24"/>
        </w:numPr>
      </w:pPr>
      <w:r>
        <w:t>Estimate timeframes, resources and funding required to deliver this programme</w:t>
      </w:r>
      <w:r w:rsidR="006B085E">
        <w:t xml:space="preserve"> and then:</w:t>
      </w:r>
    </w:p>
    <w:p w:rsidR="006B085E" w:rsidP="006B085E" w:rsidRDefault="006B085E" w14:paraId="1FF244C8" w14:textId="6E003A64">
      <w:pPr>
        <w:pStyle w:val="ListParagraph"/>
        <w:numPr>
          <w:ilvl w:val="1"/>
          <w:numId w:val="24"/>
        </w:numPr>
      </w:pPr>
      <w:r>
        <w:t xml:space="preserve">Enroll a Benefactor to lead the programme and </w:t>
      </w:r>
      <w:r w:rsidR="0023008F">
        <w:t>provide funding for it in 2023</w:t>
      </w:r>
    </w:p>
    <w:p w:rsidR="00147653" w:rsidP="006B085E" w:rsidRDefault="006B085E" w14:paraId="17B18F59" w14:textId="6D15886B">
      <w:pPr>
        <w:pStyle w:val="ListParagraph"/>
        <w:numPr>
          <w:ilvl w:val="1"/>
          <w:numId w:val="24"/>
        </w:numPr>
      </w:pPr>
      <w:r>
        <w:t>S</w:t>
      </w:r>
      <w:r w:rsidR="00147653">
        <w:t xml:space="preserve">eek approval </w:t>
      </w:r>
      <w:r>
        <w:t xml:space="preserve">from </w:t>
      </w:r>
      <w:r w:rsidR="0023008F">
        <w:t xml:space="preserve">The Payments </w:t>
      </w:r>
      <w:r w:rsidR="0062465E">
        <w:t>Association’s</w:t>
      </w:r>
      <w:r w:rsidR="00147653">
        <w:t xml:space="preserve"> Advisory Board and management team</w:t>
      </w:r>
      <w:r w:rsidR="00472F85">
        <w:t xml:space="preserve"> in January 2023</w:t>
      </w:r>
    </w:p>
    <w:p w:rsidR="002B2A99" w:rsidP="006B085E" w:rsidRDefault="002B2A99" w14:paraId="6E1F756B" w14:textId="39D31A4D">
      <w:pPr>
        <w:pStyle w:val="ListParagraph"/>
        <w:numPr>
          <w:ilvl w:val="1"/>
          <w:numId w:val="24"/>
        </w:numPr>
      </w:pPr>
      <w:r>
        <w:t>Appoint a Project Mentor from The Payments Association’s Advisory Board</w:t>
      </w:r>
    </w:p>
    <w:p w:rsidR="000F10CF" w:rsidP="006B085E" w:rsidRDefault="000F10CF" w14:paraId="4DE96F5B" w14:textId="7F659301">
      <w:pPr>
        <w:pStyle w:val="ListParagraph"/>
        <w:numPr>
          <w:ilvl w:val="1"/>
          <w:numId w:val="24"/>
        </w:numPr>
      </w:pPr>
      <w:r>
        <w:t xml:space="preserve">Recruit a Project Team of volunteers from our members </w:t>
      </w:r>
    </w:p>
    <w:p w:rsidR="00FE0186" w:rsidP="00FE0186" w:rsidRDefault="00FE0186" w14:paraId="5EC9003E" w14:textId="7061515E">
      <w:pPr>
        <w:pStyle w:val="ListParagraph"/>
        <w:numPr>
          <w:ilvl w:val="0"/>
          <w:numId w:val="24"/>
        </w:numPr>
      </w:pPr>
      <w:r>
        <w:t>Feed this EEDI strategy into the planning processes of our member organisations so their organisational strategy and goals align with this EEDI strategy</w:t>
      </w:r>
    </w:p>
    <w:p w:rsidR="00AD46FD" w:rsidP="00E74A5E" w:rsidRDefault="00FE0186" w14:paraId="2422E81F" w14:textId="64C0DACE">
      <w:pPr>
        <w:pStyle w:val="ListParagraph"/>
        <w:numPr>
          <w:ilvl w:val="0"/>
          <w:numId w:val="24"/>
        </w:numPr>
      </w:pPr>
      <w:r>
        <w:t>Evaluate the development of an EEDI scorecard to measure KPI’s and progress regarding EEDI practices, activities and implementation that can be used across the sector</w:t>
      </w:r>
      <w:r w:rsidR="00D9556B">
        <w:t>, o</w:t>
      </w:r>
      <w:r>
        <w:t xml:space="preserve">r use current industry </w:t>
      </w:r>
      <w:r w:rsidR="00472AF6">
        <w:t>scorecards</w:t>
      </w:r>
      <w:r>
        <w:t xml:space="preserve"> </w:t>
      </w:r>
      <w:r w:rsidR="00D9556B">
        <w:t>to achieve this goal of tracking progress</w:t>
      </w:r>
    </w:p>
    <w:p w:rsidR="00FE0186" w:rsidP="00FE0186" w:rsidRDefault="00FE0186" w14:paraId="414DBF62" w14:textId="77777777">
      <w:pPr>
        <w:pStyle w:val="ListParagraph"/>
      </w:pPr>
    </w:p>
    <w:p w:rsidRPr="00FB72A2" w:rsidR="00FB72A2" w:rsidP="00FB72A2" w:rsidRDefault="00FB72A2" w14:paraId="16A047F3" w14:textId="15F90E8F">
      <w:pPr>
        <w:pStyle w:val="ListParagraph"/>
        <w:numPr>
          <w:ilvl w:val="0"/>
          <w:numId w:val="18"/>
        </w:numPr>
        <w:rPr>
          <w:rFonts w:cs="Arial"/>
          <w:b/>
          <w:bCs/>
        </w:rPr>
      </w:pPr>
      <w:r w:rsidRPr="00FB72A2">
        <w:rPr>
          <w:rFonts w:cs="Arial"/>
          <w:b/>
          <w:bCs/>
        </w:rPr>
        <w:t xml:space="preserve">Recruitment </w:t>
      </w:r>
    </w:p>
    <w:p w:rsidR="00FB72A2" w:rsidP="00FB72A2" w:rsidRDefault="00FB72A2" w14:paraId="1DF4E17D" w14:textId="296B239D">
      <w:pPr>
        <w:pStyle w:val="ListParagraph"/>
        <w:numPr>
          <w:ilvl w:val="0"/>
          <w:numId w:val="20"/>
        </w:numPr>
      </w:pPr>
      <w:r>
        <w:t xml:space="preserve">Develop a Recruitment Toolkit / Guide so that </w:t>
      </w:r>
      <w:r w:rsidR="00472AF6">
        <w:t xml:space="preserve">organisations in the </w:t>
      </w:r>
      <w:r>
        <w:t>Payment</w:t>
      </w:r>
      <w:r w:rsidR="001204E6">
        <w:t>s</w:t>
      </w:r>
      <w:r>
        <w:t xml:space="preserve"> sector and </w:t>
      </w:r>
      <w:r w:rsidR="00472AF6">
        <w:t>those</w:t>
      </w:r>
      <w:r>
        <w:t xml:space="preserve"> involved in recruitment are using a consistent and inclusive approach</w:t>
      </w:r>
      <w:r w:rsidR="008B114A">
        <w:t xml:space="preserve"> and then:</w:t>
      </w:r>
    </w:p>
    <w:p w:rsidR="004166AE" w:rsidP="008B114A" w:rsidRDefault="004166AE" w14:paraId="02E60B45" w14:textId="6BB14A53">
      <w:pPr>
        <w:pStyle w:val="ListParagraph"/>
        <w:numPr>
          <w:ilvl w:val="1"/>
          <w:numId w:val="20"/>
        </w:numPr>
      </w:pPr>
      <w:r>
        <w:t>Launch the Recruitment Toolkit at a PA@TheCity even</w:t>
      </w:r>
      <w:r w:rsidR="008B114A">
        <w:t>t</w:t>
      </w:r>
    </w:p>
    <w:p w:rsidR="008B114A" w:rsidP="008B114A" w:rsidRDefault="008B114A" w14:paraId="2A816ADA" w14:textId="08C909CC">
      <w:pPr>
        <w:pStyle w:val="ListParagraph"/>
        <w:numPr>
          <w:ilvl w:val="1"/>
          <w:numId w:val="20"/>
        </w:numPr>
      </w:pPr>
      <w:r>
        <w:t>Promote the Recruitment Toolkit in our Insights Newsletter and using social media</w:t>
      </w:r>
    </w:p>
    <w:p w:rsidR="008B114A" w:rsidP="001A2721" w:rsidRDefault="008B114A" w14:paraId="7255D01B" w14:textId="515B7EDA">
      <w:pPr>
        <w:pStyle w:val="ListParagraph"/>
        <w:numPr>
          <w:ilvl w:val="1"/>
          <w:numId w:val="20"/>
        </w:numPr>
      </w:pPr>
      <w:r>
        <w:t>Make the Recruitment Toolkit available in the members-only section of our website</w:t>
      </w:r>
    </w:p>
    <w:p w:rsidR="009465EC" w:rsidP="001A2721" w:rsidRDefault="009465EC" w14:paraId="3E1E5FA4" w14:textId="77777777">
      <w:pPr>
        <w:pStyle w:val="ListParagraph"/>
        <w:numPr>
          <w:ilvl w:val="1"/>
          <w:numId w:val="20"/>
        </w:numPr>
      </w:pPr>
    </w:p>
    <w:p w:rsidRPr="00FB72A2" w:rsidR="009465EC" w:rsidP="009465EC" w:rsidRDefault="009465EC" w14:paraId="4D719BCF" w14:textId="77777777">
      <w:pPr>
        <w:pStyle w:val="ListParagraph"/>
        <w:numPr>
          <w:ilvl w:val="0"/>
          <w:numId w:val="18"/>
        </w:numPr>
        <w:rPr>
          <w:rFonts w:cs="Arial"/>
          <w:b/>
          <w:bCs/>
        </w:rPr>
      </w:pPr>
      <w:r w:rsidRPr="00FB72A2">
        <w:rPr>
          <w:rFonts w:cs="Arial"/>
          <w:b/>
          <w:bCs/>
        </w:rPr>
        <w:t>Employee Value Proposition</w:t>
      </w:r>
    </w:p>
    <w:p w:rsidR="009465EC" w:rsidP="009465EC" w:rsidRDefault="009465EC" w14:paraId="1A7334EF" w14:textId="77777777">
      <w:pPr>
        <w:pStyle w:val="ListParagraph"/>
        <w:numPr>
          <w:ilvl w:val="0"/>
          <w:numId w:val="24"/>
        </w:numPr>
      </w:pPr>
      <w:r>
        <w:t>Work with preferred partners to develop Employee Value Proposition-related resources that can be provided for members</w:t>
      </w:r>
    </w:p>
    <w:p w:rsidR="009465EC" w:rsidP="00BE138C" w:rsidRDefault="009465EC" w14:paraId="5BEA4474" w14:textId="0BF27859">
      <w:pPr>
        <w:pStyle w:val="ListParagraph"/>
        <w:numPr>
          <w:ilvl w:val="0"/>
          <w:numId w:val="24"/>
        </w:numPr>
      </w:pPr>
      <w:r>
        <w:t>Promote this EVP to other members and encourage widespread adoption of EVPs</w:t>
      </w:r>
    </w:p>
    <w:p w:rsidR="00FB72A2" w:rsidP="00FB72A2" w:rsidRDefault="00FB72A2" w14:paraId="4796E65C" w14:textId="77777777"/>
    <w:p w:rsidRPr="00FB72A2" w:rsidR="00FB72A2" w:rsidP="00FB72A2" w:rsidRDefault="00FB72A2" w14:paraId="512823EE" w14:textId="77777777">
      <w:pPr>
        <w:pStyle w:val="ListParagraph"/>
        <w:numPr>
          <w:ilvl w:val="0"/>
          <w:numId w:val="18"/>
        </w:numPr>
        <w:rPr>
          <w:rFonts w:cs="Arial"/>
          <w:b/>
          <w:bCs/>
        </w:rPr>
      </w:pPr>
      <w:r w:rsidRPr="00FB72A2">
        <w:rPr>
          <w:rFonts w:cs="Arial"/>
          <w:b/>
          <w:bCs/>
        </w:rPr>
        <w:t>Communication</w:t>
      </w:r>
    </w:p>
    <w:p w:rsidR="0059679D" w:rsidP="0059679D" w:rsidRDefault="0059679D" w14:paraId="082598AE" w14:textId="6BCE127B">
      <w:pPr>
        <w:pStyle w:val="ListParagraph"/>
        <w:numPr>
          <w:ilvl w:val="0"/>
          <w:numId w:val="21"/>
        </w:numPr>
      </w:pPr>
      <w:r>
        <w:t>Develop a communications strategy for EEDI for both internal and external audiences</w:t>
      </w:r>
    </w:p>
    <w:p w:rsidR="006C7C3C" w:rsidP="006C7C3C" w:rsidRDefault="006C7C3C" w14:paraId="0FB86D8C" w14:textId="5AF91C8C">
      <w:pPr>
        <w:pStyle w:val="ListParagraph"/>
        <w:numPr>
          <w:ilvl w:val="0"/>
          <w:numId w:val="21"/>
        </w:numPr>
      </w:pPr>
      <w:r>
        <w:t xml:space="preserve">Using the </w:t>
      </w:r>
      <w:r w:rsidR="0059679D">
        <w:t xml:space="preserve">skills of members of the </w:t>
      </w:r>
      <w:r>
        <w:t xml:space="preserve">Project Team, produce an </w:t>
      </w:r>
      <w:r w:rsidRPr="00BE138C">
        <w:rPr>
          <w:b/>
          <w:bCs/>
        </w:rPr>
        <w:t>EEDI Charter</w:t>
      </w:r>
      <w:r>
        <w:t xml:space="preserve"> that can be publicly and openly promoted to encourage adoption of progressive strategies for EEDI. Feature recommendations in the Charter such as</w:t>
      </w:r>
      <w:r w:rsidR="00F9174B">
        <w:t>:</w:t>
      </w:r>
    </w:p>
    <w:p w:rsidR="006C7C3C" w:rsidP="006C7C3C" w:rsidRDefault="006C7C3C" w14:paraId="314F4D8E" w14:textId="21C8FC6E">
      <w:pPr>
        <w:pStyle w:val="ListParagraph"/>
        <w:numPr>
          <w:ilvl w:val="0"/>
          <w:numId w:val="22"/>
        </w:numPr>
      </w:pPr>
      <w:r>
        <w:t>Ensuring all events run by PA and members are accessible, safe and consider dietary and allergy requirements for all</w:t>
      </w:r>
    </w:p>
    <w:p w:rsidR="006C7C3C" w:rsidP="006C7C3C" w:rsidRDefault="006C7C3C" w14:paraId="4A5F152E" w14:textId="77777777">
      <w:pPr>
        <w:pStyle w:val="ListParagraph"/>
        <w:numPr>
          <w:ilvl w:val="0"/>
          <w:numId w:val="22"/>
        </w:numPr>
      </w:pPr>
      <w:r>
        <w:t>Ensuring members' websites highlight the organization’s commitment to EEDI</w:t>
      </w:r>
    </w:p>
    <w:p w:rsidR="002D0D73" w:rsidP="00FB72A2" w:rsidRDefault="00195E4D" w14:paraId="7F1F2881" w14:textId="43313B8A">
      <w:pPr>
        <w:pStyle w:val="ListParagraph"/>
        <w:numPr>
          <w:ilvl w:val="0"/>
          <w:numId w:val="21"/>
        </w:numPr>
      </w:pPr>
      <w:r>
        <w:t xml:space="preserve">Produce a </w:t>
      </w:r>
      <w:r w:rsidRPr="00BE138C">
        <w:rPr>
          <w:b/>
          <w:bCs/>
        </w:rPr>
        <w:t>White Paper</w:t>
      </w:r>
      <w:r>
        <w:t xml:space="preserve"> that</w:t>
      </w:r>
      <w:r w:rsidR="00F9174B">
        <w:t>:</w:t>
      </w:r>
      <w:r>
        <w:t xml:space="preserve"> </w:t>
      </w:r>
    </w:p>
    <w:p w:rsidR="00E61F8D" w:rsidP="00E61F8D" w:rsidRDefault="00E61F8D" w14:paraId="419C5E43" w14:textId="3688CC12">
      <w:pPr>
        <w:pStyle w:val="ListParagraph"/>
        <w:numPr>
          <w:ilvl w:val="1"/>
          <w:numId w:val="21"/>
        </w:numPr>
      </w:pPr>
      <w:r>
        <w:t>Communicates the community’s vison and objectives for EEDI</w:t>
      </w:r>
    </w:p>
    <w:p w:rsidR="00195E4D" w:rsidP="002D0D73" w:rsidRDefault="002D0D73" w14:paraId="3FA7574E" w14:textId="6939F4A1">
      <w:pPr>
        <w:pStyle w:val="ListParagraph"/>
        <w:numPr>
          <w:ilvl w:val="1"/>
          <w:numId w:val="21"/>
        </w:numPr>
      </w:pPr>
      <w:r>
        <w:t>E</w:t>
      </w:r>
      <w:r w:rsidR="00195E4D">
        <w:t xml:space="preserve">xplains the origins of the EEDI Charter, what it is, </w:t>
      </w:r>
      <w:r>
        <w:t>and what companies should do to sign up to it</w:t>
      </w:r>
    </w:p>
    <w:p w:rsidR="00FB72A2" w:rsidP="002D0D73" w:rsidRDefault="00FB72A2" w14:paraId="4F46AA04" w14:textId="3909ACA6">
      <w:pPr>
        <w:pStyle w:val="ListParagraph"/>
        <w:numPr>
          <w:ilvl w:val="1"/>
          <w:numId w:val="21"/>
        </w:numPr>
      </w:pPr>
      <w:r>
        <w:t>Promote the benefits of</w:t>
      </w:r>
      <w:r w:rsidR="002D0D73">
        <w:t xml:space="preserve"> adopting the </w:t>
      </w:r>
      <w:r>
        <w:t>EEDI</w:t>
      </w:r>
      <w:r w:rsidR="002D0D73">
        <w:t xml:space="preserve"> Charter</w:t>
      </w:r>
      <w:r w:rsidR="00E61F8D">
        <w:t xml:space="preserve"> and</w:t>
      </w:r>
      <w:r>
        <w:t xml:space="preserve"> how it can enhance business and performance outcomes, </w:t>
      </w:r>
      <w:r w:rsidR="00833C60">
        <w:t xml:space="preserve">and the </w:t>
      </w:r>
      <w:r>
        <w:t>moral case for diversity</w:t>
      </w:r>
    </w:p>
    <w:p w:rsidR="009236CD" w:rsidP="002D0D73" w:rsidRDefault="009236CD" w14:paraId="7A01969A" w14:textId="768434DD">
      <w:pPr>
        <w:pStyle w:val="ListParagraph"/>
        <w:numPr>
          <w:ilvl w:val="1"/>
          <w:numId w:val="21"/>
        </w:numPr>
      </w:pPr>
      <w:r>
        <w:t>Features case studies of companies where EEDI has made a positive and beneficial difference to all</w:t>
      </w:r>
    </w:p>
    <w:p w:rsidR="00FE4593" w:rsidP="002D0D73" w:rsidRDefault="00FE4593" w14:paraId="07D3DE75" w14:textId="7B54B064">
      <w:pPr>
        <w:pStyle w:val="ListParagraph"/>
        <w:numPr>
          <w:ilvl w:val="1"/>
          <w:numId w:val="21"/>
        </w:numPr>
      </w:pPr>
      <w:r>
        <w:t>Encourages readers to get involved in Project ESG</w:t>
      </w:r>
    </w:p>
    <w:p w:rsidR="009236CD" w:rsidP="00FB72A2" w:rsidRDefault="009236CD" w14:paraId="286BCD1B" w14:textId="5D548184">
      <w:pPr>
        <w:pStyle w:val="ListParagraph"/>
        <w:numPr>
          <w:ilvl w:val="0"/>
          <w:numId w:val="21"/>
        </w:numPr>
      </w:pPr>
      <w:r>
        <w:t xml:space="preserve">Set up an </w:t>
      </w:r>
      <w:r w:rsidRPr="00BE138C">
        <w:rPr>
          <w:b/>
          <w:bCs/>
        </w:rPr>
        <w:t>EEDI Taskforce</w:t>
      </w:r>
      <w:r>
        <w:t xml:space="preserve"> </w:t>
      </w:r>
      <w:r w:rsidR="002F2C48">
        <w:t xml:space="preserve">from the Project Team </w:t>
      </w:r>
      <w:r>
        <w:t>that works through the year to:</w:t>
      </w:r>
    </w:p>
    <w:p w:rsidR="00FB72A2" w:rsidP="009236CD" w:rsidRDefault="002F2C48" w14:paraId="7859EB69" w14:textId="784ED74B">
      <w:pPr>
        <w:pStyle w:val="ListParagraph"/>
        <w:numPr>
          <w:ilvl w:val="1"/>
          <w:numId w:val="21"/>
        </w:numPr>
      </w:pPr>
      <w:r>
        <w:t xml:space="preserve">Encourage members </w:t>
      </w:r>
      <w:r w:rsidR="00FB72A2">
        <w:t>to develop an EEDI</w:t>
      </w:r>
      <w:r w:rsidR="00724007">
        <w:t>-</w:t>
      </w:r>
      <w:r w:rsidR="00FB72A2">
        <w:t xml:space="preserve">specific webpage and social media </w:t>
      </w:r>
      <w:r w:rsidR="00FB72A2">
        <w:lastRenderedPageBreak/>
        <w:t>communications (ensuring information shared is accessible)</w:t>
      </w:r>
      <w:r w:rsidR="00724007">
        <w:t xml:space="preserve"> </w:t>
      </w:r>
    </w:p>
    <w:p w:rsidR="00FB72A2" w:rsidP="00F90B73" w:rsidRDefault="00FB72A2" w14:paraId="2CA918CD" w14:textId="3FF680DB">
      <w:pPr>
        <w:pStyle w:val="ListParagraph"/>
        <w:numPr>
          <w:ilvl w:val="1"/>
          <w:numId w:val="21"/>
        </w:numPr>
        <w:ind w:right="-472"/>
      </w:pPr>
      <w:r>
        <w:t xml:space="preserve">Assess existing communications and social media </w:t>
      </w:r>
      <w:r w:rsidR="00FB2887">
        <w:t xml:space="preserve">from members and the Payments Association </w:t>
      </w:r>
      <w:r w:rsidR="00743956">
        <w:t>and where necessary, adapt them to reflect the EEDI vision</w:t>
      </w:r>
    </w:p>
    <w:p w:rsidR="00FB72A2" w:rsidP="002F2C48" w:rsidRDefault="00FB72A2" w14:paraId="6E293B79" w14:textId="6EBA1777">
      <w:pPr>
        <w:pStyle w:val="ListParagraph"/>
        <w:numPr>
          <w:ilvl w:val="1"/>
          <w:numId w:val="21"/>
        </w:numPr>
      </w:pPr>
      <w:r>
        <w:t xml:space="preserve">Promote </w:t>
      </w:r>
      <w:r w:rsidR="00743956">
        <w:t xml:space="preserve">our </w:t>
      </w:r>
      <w:r>
        <w:t xml:space="preserve">definitions </w:t>
      </w:r>
      <w:r w:rsidR="00743956">
        <w:t xml:space="preserve">of EEDI </w:t>
      </w:r>
      <w:r>
        <w:t xml:space="preserve">in </w:t>
      </w:r>
      <w:r w:rsidR="00743956">
        <w:t>all</w:t>
      </w:r>
      <w:r>
        <w:t xml:space="preserve"> media and communications including the website and social media </w:t>
      </w:r>
    </w:p>
    <w:p w:rsidR="00FB72A2" w:rsidP="008E6618" w:rsidRDefault="00FB72A2" w14:paraId="75D5E4D3" w14:textId="740B7606">
      <w:pPr>
        <w:pStyle w:val="ListParagraph"/>
        <w:numPr>
          <w:ilvl w:val="1"/>
          <w:numId w:val="21"/>
        </w:numPr>
      </w:pPr>
      <w:r>
        <w:t>Carry out accessibility audit</w:t>
      </w:r>
      <w:r w:rsidR="00744244">
        <w:t>s</w:t>
      </w:r>
      <w:r>
        <w:t xml:space="preserve"> to </w:t>
      </w:r>
      <w:r w:rsidR="00744244">
        <w:t>determine</w:t>
      </w:r>
      <w:r>
        <w:t xml:space="preserve"> that </w:t>
      </w:r>
      <w:r w:rsidR="006B5244">
        <w:t>all member</w:t>
      </w:r>
      <w:r>
        <w:t xml:space="preserve"> website</w:t>
      </w:r>
      <w:r w:rsidR="006B5244">
        <w:t>s</w:t>
      </w:r>
      <w:r>
        <w:t xml:space="preserve"> </w:t>
      </w:r>
      <w:r w:rsidR="006B5244">
        <w:t>are</w:t>
      </w:r>
      <w:r>
        <w:t xml:space="preserve"> accessible to </w:t>
      </w:r>
      <w:r w:rsidR="006B5244">
        <w:t xml:space="preserve">a </w:t>
      </w:r>
      <w:r>
        <w:t>wide range of visitors</w:t>
      </w:r>
    </w:p>
    <w:p w:rsidR="00FB72A2" w:rsidP="00FB72A2" w:rsidRDefault="00FB72A2" w14:paraId="220FE4D8" w14:textId="77777777"/>
    <w:p w:rsidRPr="00FB72A2" w:rsidR="00FB72A2" w:rsidP="00FB72A2" w:rsidRDefault="00FB72A2" w14:paraId="3E322EA3" w14:textId="77777777">
      <w:pPr>
        <w:pStyle w:val="ListParagraph"/>
        <w:numPr>
          <w:ilvl w:val="0"/>
          <w:numId w:val="18"/>
        </w:numPr>
        <w:rPr>
          <w:rFonts w:cs="Arial"/>
          <w:b/>
          <w:bCs/>
        </w:rPr>
      </w:pPr>
      <w:r w:rsidRPr="00FB72A2">
        <w:rPr>
          <w:rFonts w:cs="Arial"/>
          <w:b/>
          <w:bCs/>
        </w:rPr>
        <w:t>Learning and Development</w:t>
      </w:r>
    </w:p>
    <w:p w:rsidR="003F4E78" w:rsidP="003F4E78" w:rsidRDefault="003F4E78" w14:paraId="13BD13F5" w14:textId="75B6A634">
      <w:pPr>
        <w:pStyle w:val="ListParagraph"/>
        <w:numPr>
          <w:ilvl w:val="0"/>
          <w:numId w:val="25"/>
        </w:numPr>
      </w:pPr>
      <w:r>
        <w:t>Encourage members to adopt a learning programme to support enhanced awareness of EEDI in the Payments sector</w:t>
      </w:r>
    </w:p>
    <w:p w:rsidR="00FB72A2" w:rsidP="00FB72A2" w:rsidRDefault="00FB72A2" w14:paraId="2633F377" w14:textId="7B130C5A">
      <w:pPr>
        <w:pStyle w:val="ListParagraph"/>
        <w:numPr>
          <w:ilvl w:val="0"/>
          <w:numId w:val="25"/>
        </w:numPr>
      </w:pPr>
      <w:r>
        <w:t xml:space="preserve">Produce </w:t>
      </w:r>
      <w:r w:rsidR="00777596">
        <w:t xml:space="preserve">a </w:t>
      </w:r>
      <w:r w:rsidRPr="00BE138C">
        <w:rPr>
          <w:b/>
          <w:bCs/>
        </w:rPr>
        <w:t>directory of training providers</w:t>
      </w:r>
      <w:r>
        <w:t xml:space="preserve"> to support purchasing of learning and development for </w:t>
      </w:r>
      <w:r w:rsidR="00777596">
        <w:t>Payments Association</w:t>
      </w:r>
      <w:r>
        <w:t xml:space="preserve"> members </w:t>
      </w:r>
    </w:p>
    <w:p w:rsidR="00FB72A2" w:rsidP="003F4E78" w:rsidRDefault="00FB72A2" w14:paraId="26B6A0DD" w14:textId="30D65544">
      <w:pPr>
        <w:pStyle w:val="ListParagraph"/>
        <w:numPr>
          <w:ilvl w:val="1"/>
          <w:numId w:val="25"/>
        </w:numPr>
        <w:rPr/>
      </w:pPr>
      <w:r w:rsidR="00FB72A2">
        <w:rPr/>
        <w:t xml:space="preserve">Training methods can include facilitated learning, </w:t>
      </w:r>
      <w:r w:rsidR="00FB72A2">
        <w:rPr/>
        <w:t>webin</w:t>
      </w:r>
      <w:r w:rsidR="00FB72A2">
        <w:rPr/>
        <w:t>ars</w:t>
      </w:r>
      <w:r w:rsidR="00FB72A2">
        <w:rPr/>
        <w:t xml:space="preserve">, Lunch and Learns, information shared on intranet, EEDI information, resources and guidance provided on </w:t>
      </w:r>
      <w:proofErr w:type="spellStart"/>
      <w:r w:rsidR="00FB72A2">
        <w:rPr/>
        <w:t>organisation</w:t>
      </w:r>
      <w:proofErr w:type="spellEnd"/>
      <w:r w:rsidR="00FB72A2">
        <w:rPr/>
        <w:t xml:space="preserve"> intranet systems</w:t>
      </w:r>
    </w:p>
    <w:p w:rsidR="00FB72A2" w:rsidP="003F4E78" w:rsidRDefault="00FB72A2" w14:paraId="474602EB" w14:textId="4F22A724">
      <w:pPr>
        <w:pStyle w:val="ListParagraph"/>
        <w:numPr>
          <w:ilvl w:val="1"/>
          <w:numId w:val="25"/>
        </w:numPr>
      </w:pPr>
      <w:r>
        <w:t xml:space="preserve">Training topics can include areas such as bias/micro behaviours/microaggressions, inclusive recruitment, inclusive language, Race inclusion, Disability inclusion, LGBT+ inclusion, Dignity at Work, Cultural awareness, Managing difficult conversations, Gender Inclusion, </w:t>
      </w:r>
      <w:r w:rsidR="008F16C2">
        <w:t>I</w:t>
      </w:r>
      <w:r>
        <w:t>nclusive leadership</w:t>
      </w:r>
    </w:p>
    <w:p w:rsidR="007A52A3" w:rsidP="003F4E78" w:rsidRDefault="007A52A3" w14:paraId="7F72F634" w14:textId="1D241F5A">
      <w:pPr>
        <w:pStyle w:val="ListParagraph"/>
        <w:numPr>
          <w:ilvl w:val="1"/>
          <w:numId w:val="25"/>
        </w:numPr>
      </w:pPr>
      <w:r>
        <w:t>Opportunity for members to add their own resources to the directory for a cost</w:t>
      </w:r>
    </w:p>
    <w:p w:rsidR="00FB72A2" w:rsidP="00FB72A2" w:rsidRDefault="00FB72A2" w14:paraId="3BC063DF" w14:textId="77777777">
      <w:pPr>
        <w:pStyle w:val="ListParagraph"/>
      </w:pPr>
    </w:p>
    <w:p w:rsidRPr="00FB72A2" w:rsidR="00FB72A2" w:rsidP="00FB72A2" w:rsidRDefault="00FB72A2" w14:paraId="63EAD9E5" w14:textId="77777777">
      <w:pPr>
        <w:pStyle w:val="ListParagraph"/>
        <w:numPr>
          <w:ilvl w:val="0"/>
          <w:numId w:val="18"/>
        </w:numPr>
        <w:rPr>
          <w:rFonts w:cs="Arial"/>
          <w:b/>
          <w:bCs/>
        </w:rPr>
      </w:pPr>
      <w:r w:rsidRPr="00FB72A2">
        <w:rPr>
          <w:rFonts w:cs="Arial"/>
          <w:b/>
          <w:bCs/>
        </w:rPr>
        <w:t>Events</w:t>
      </w:r>
    </w:p>
    <w:p w:rsidR="00990B8D" w:rsidP="00FB72A2" w:rsidRDefault="00FB72A2" w14:paraId="47EA57CD" w14:textId="5709932F">
      <w:pPr>
        <w:pStyle w:val="ListParagraph"/>
        <w:numPr>
          <w:ilvl w:val="0"/>
          <w:numId w:val="26"/>
        </w:numPr>
      </w:pPr>
      <w:r>
        <w:t xml:space="preserve">Hold EEDI specific events raising awareness of different aspects of EEDI as identified during this report </w:t>
      </w:r>
      <w:r w:rsidR="00C65D46">
        <w:t>such as:</w:t>
      </w:r>
    </w:p>
    <w:p w:rsidR="00C65D46" w:rsidP="00C65D46" w:rsidRDefault="00C65D46" w14:paraId="2A0FFBE4" w14:textId="4B046245">
      <w:pPr>
        <w:pStyle w:val="ListParagraph"/>
        <w:numPr>
          <w:ilvl w:val="1"/>
          <w:numId w:val="26"/>
        </w:numPr>
      </w:pPr>
      <w:r>
        <w:t>Podcast</w:t>
      </w:r>
    </w:p>
    <w:p w:rsidR="004166AE" w:rsidP="00C65D46" w:rsidRDefault="004166AE" w14:paraId="19F96FFF" w14:textId="067EFA0E">
      <w:pPr>
        <w:pStyle w:val="ListParagraph"/>
        <w:numPr>
          <w:ilvl w:val="1"/>
          <w:numId w:val="26"/>
        </w:numPr>
      </w:pPr>
      <w:r>
        <w:t>Webinar</w:t>
      </w:r>
    </w:p>
    <w:p w:rsidR="00FB72A2" w:rsidP="00FB72A2" w:rsidRDefault="00990B8D" w14:paraId="43B60EF1" w14:textId="5039A2D5">
      <w:pPr>
        <w:pStyle w:val="ListParagraph"/>
        <w:numPr>
          <w:ilvl w:val="0"/>
          <w:numId w:val="26"/>
        </w:numPr>
      </w:pPr>
      <w:r>
        <w:t>Incorporate sessions in our current event programme</w:t>
      </w:r>
      <w:r w:rsidR="00FB72A2">
        <w:t xml:space="preserve"> such as webinars, training, </w:t>
      </w:r>
      <w:r>
        <w:t xml:space="preserve">and conference </w:t>
      </w:r>
      <w:r w:rsidR="00FB72A2">
        <w:t>event panels, run by TPA and other event companies or trade associations</w:t>
      </w:r>
      <w:r w:rsidR="000E5211">
        <w:t>, about EEDI</w:t>
      </w:r>
    </w:p>
    <w:p w:rsidR="00144383" w:rsidP="00144383" w:rsidRDefault="00144383" w14:paraId="540334B2" w14:textId="77777777">
      <w:pPr>
        <w:pStyle w:val="ListParagraph"/>
        <w:numPr>
          <w:ilvl w:val="0"/>
          <w:numId w:val="26"/>
        </w:numPr>
      </w:pPr>
      <w:r>
        <w:t>Select speakers at PA events such as PAY360 to reflect current themes, beyond gender diversity</w:t>
      </w:r>
    </w:p>
    <w:p w:rsidR="00FB72A2" w:rsidP="00FB72A2" w:rsidRDefault="00FB72A2" w14:paraId="3A680AD8" w14:textId="77777777">
      <w:pPr>
        <w:pStyle w:val="ListParagraph"/>
        <w:numPr>
          <w:ilvl w:val="0"/>
          <w:numId w:val="26"/>
        </w:numPr>
      </w:pPr>
      <w:r>
        <w:t xml:space="preserve">Proactively encourage those booking tables at PAY360 Awards, CEO Round Tables, Conference Panels, </w:t>
      </w:r>
      <w:proofErr w:type="gramStart"/>
      <w:r>
        <w:t>webinars</w:t>
      </w:r>
      <w:proofErr w:type="gramEnd"/>
      <w:r>
        <w:t xml:space="preserve"> and other events to invite a diverse range of guests (dropping the ladder down) - and encourage this in all communications and booking details</w:t>
      </w:r>
    </w:p>
    <w:p w:rsidR="00FB72A2" w:rsidP="00FB72A2" w:rsidRDefault="00FB72A2" w14:paraId="4474CB66" w14:textId="3A74B620">
      <w:pPr>
        <w:pStyle w:val="ListParagraph"/>
        <w:numPr>
          <w:ilvl w:val="0"/>
          <w:numId w:val="26"/>
        </w:numPr>
      </w:pPr>
      <w:r>
        <w:t xml:space="preserve">Raise awareness of notable calendar dates and look to promote them via the website, social </w:t>
      </w:r>
      <w:proofErr w:type="gramStart"/>
      <w:r>
        <w:t>media</w:t>
      </w:r>
      <w:proofErr w:type="gramEnd"/>
      <w:r w:rsidR="00C11A0A">
        <w:t xml:space="preserve"> and our</w:t>
      </w:r>
      <w:r>
        <w:t xml:space="preserve"> events </w:t>
      </w:r>
    </w:p>
    <w:p w:rsidR="00FB72A2" w:rsidP="00FB72A2" w:rsidRDefault="00FB72A2" w14:paraId="4FABD41B" w14:textId="6E4F8FB4">
      <w:pPr>
        <w:pStyle w:val="ListParagraph"/>
        <w:numPr>
          <w:ilvl w:val="0"/>
          <w:numId w:val="26"/>
        </w:numPr>
      </w:pPr>
      <w:r>
        <w:t xml:space="preserve">Convert </w:t>
      </w:r>
      <w:r w:rsidR="00655623">
        <w:t xml:space="preserve">our </w:t>
      </w:r>
      <w:r>
        <w:t xml:space="preserve">logo to reflect current themes, for example, </w:t>
      </w:r>
      <w:r w:rsidR="00655623">
        <w:t xml:space="preserve">make it a rainbow in </w:t>
      </w:r>
      <w:r>
        <w:t>Pride Month</w:t>
      </w:r>
    </w:p>
    <w:p w:rsidR="00FB72A2" w:rsidP="00FB72A2" w:rsidRDefault="00FB72A2" w14:paraId="0DF4F7AA" w14:textId="77777777">
      <w:pPr>
        <w:pStyle w:val="ListParagraph"/>
        <w:numPr>
          <w:ilvl w:val="0"/>
          <w:numId w:val="26"/>
        </w:numPr>
      </w:pPr>
      <w:r>
        <w:t>Convert theme of a PA@Home/PA@TheCity events to reflect current themes</w:t>
      </w:r>
    </w:p>
    <w:p w:rsidR="00FB72A2" w:rsidP="00E02272" w:rsidRDefault="00FB72A2" w14:paraId="2BD498DD" w14:textId="77777777">
      <w:pPr>
        <w:pBdr>
          <w:top w:val="nil"/>
          <w:left w:val="nil"/>
          <w:bottom w:val="nil"/>
          <w:right w:val="nil"/>
          <w:between w:val="nil"/>
        </w:pBdr>
        <w:spacing w:before="24"/>
        <w:ind w:right="1266"/>
        <w:rPr>
          <w:color w:val="000000"/>
        </w:rPr>
      </w:pPr>
    </w:p>
    <w:p w:rsidR="005A2950" w:rsidP="00E02272" w:rsidRDefault="00563157" w14:paraId="0018A941" w14:textId="44CDF248">
      <w:pPr>
        <w:pBdr>
          <w:top w:val="nil"/>
          <w:left w:val="nil"/>
          <w:bottom w:val="nil"/>
          <w:right w:val="nil"/>
          <w:between w:val="nil"/>
        </w:pBdr>
        <w:spacing w:before="24"/>
        <w:ind w:right="1266"/>
        <w:rPr>
          <w:color w:val="000000"/>
        </w:rPr>
      </w:pPr>
      <w:r>
        <w:rPr>
          <w:color w:val="000000"/>
        </w:rPr>
        <w:t xml:space="preserve">The activities in the programme will </w:t>
      </w:r>
      <w:r w:rsidR="005A2950">
        <w:rPr>
          <w:color w:val="000000"/>
        </w:rPr>
        <w:t>be not interfere with or replicate industry initiatives already in place</w:t>
      </w:r>
      <w:r w:rsidR="00E02272">
        <w:rPr>
          <w:color w:val="000000"/>
        </w:rPr>
        <w:t>.</w:t>
      </w:r>
    </w:p>
    <w:p w:rsidR="005A60BE" w:rsidP="005A60BE" w:rsidRDefault="005A60BE" w14:paraId="4738FB15" w14:textId="77777777">
      <w:pPr>
        <w:pStyle w:val="Heading2"/>
      </w:pPr>
      <w:bookmarkStart w:name="_gjdgxs" w:colFirst="0" w:colLast="0" w:id="0"/>
      <w:bookmarkStart w:name="_bym42upz02s5" w:colFirst="0" w:colLast="0" w:id="1"/>
      <w:bookmarkEnd w:id="0"/>
      <w:bookmarkEnd w:id="1"/>
    </w:p>
    <w:p w:rsidR="005A60BE" w:rsidP="005A60BE" w:rsidRDefault="005A2950" w14:paraId="719D77E7" w14:textId="410DBDD9">
      <w:pPr>
        <w:pStyle w:val="Heading2"/>
      </w:pPr>
      <w:r>
        <w:t>Target audience</w:t>
      </w:r>
    </w:p>
    <w:p w:rsidR="008C2159" w:rsidP="005A60BE" w:rsidRDefault="008C2159" w14:paraId="37A29FF5" w14:textId="76DC044A">
      <w:r>
        <w:t xml:space="preserve">Our target audience is </w:t>
      </w:r>
      <w:r w:rsidR="00705873">
        <w:t>everyone working for an organisation in the payments industry</w:t>
      </w:r>
      <w:r w:rsidR="00A95D7D">
        <w:t>, from board directors and owners to managers and those working on the front line</w:t>
      </w:r>
      <w:r w:rsidR="00705873">
        <w:t>.</w:t>
      </w:r>
      <w:r w:rsidR="00A95D7D">
        <w:t xml:space="preserve"> This includes:</w:t>
      </w:r>
    </w:p>
    <w:p w:rsidR="005A2950" w:rsidP="00A95D7D" w:rsidRDefault="005A2950" w14:paraId="27A61104" w14:textId="77777777">
      <w:pPr>
        <w:pStyle w:val="ListParagraph"/>
        <w:numPr>
          <w:ilvl w:val="0"/>
          <w:numId w:val="27"/>
        </w:numPr>
        <w:tabs>
          <w:tab w:val="left" w:pos="838"/>
        </w:tabs>
        <w:spacing w:before="240"/>
      </w:pPr>
      <w:r>
        <w:t>Banks</w:t>
      </w:r>
    </w:p>
    <w:p w:rsidR="005A2950" w:rsidP="00A95D7D" w:rsidRDefault="00CD5255" w14:paraId="28E78CBD" w14:textId="15E3AB91">
      <w:pPr>
        <w:pStyle w:val="ListParagraph"/>
        <w:numPr>
          <w:ilvl w:val="0"/>
          <w:numId w:val="27"/>
        </w:numPr>
        <w:tabs>
          <w:tab w:val="left" w:pos="838"/>
        </w:tabs>
      </w:pPr>
      <w:r>
        <w:t xml:space="preserve">New </w:t>
      </w:r>
      <w:r w:rsidR="005A2950">
        <w:t>Fintechs</w:t>
      </w:r>
    </w:p>
    <w:p w:rsidR="005A2950" w:rsidP="00A95D7D" w:rsidRDefault="00CD5255" w14:paraId="560EF0AC" w14:textId="057FFCBD">
      <w:pPr>
        <w:pStyle w:val="ListParagraph"/>
        <w:numPr>
          <w:ilvl w:val="0"/>
          <w:numId w:val="27"/>
        </w:numPr>
        <w:tabs>
          <w:tab w:val="left" w:pos="838"/>
        </w:tabs>
      </w:pPr>
      <w:r>
        <w:t xml:space="preserve">Established </w:t>
      </w:r>
      <w:r w:rsidR="005A2950">
        <w:t>Payments firms</w:t>
      </w:r>
    </w:p>
    <w:p w:rsidR="008F16C2" w:rsidP="00A95D7D" w:rsidRDefault="008F16C2" w14:paraId="71CB7B9B" w14:textId="11E7E43C">
      <w:pPr>
        <w:pStyle w:val="ListParagraph"/>
        <w:numPr>
          <w:ilvl w:val="0"/>
          <w:numId w:val="27"/>
        </w:numPr>
        <w:tabs>
          <w:tab w:val="left" w:pos="838"/>
        </w:tabs>
      </w:pPr>
      <w:r>
        <w:lastRenderedPageBreak/>
        <w:t xml:space="preserve">Advisors, </w:t>
      </w:r>
      <w:proofErr w:type="gramStart"/>
      <w:r>
        <w:t>lawyers</w:t>
      </w:r>
      <w:proofErr w:type="gramEnd"/>
      <w:r>
        <w:t xml:space="preserve"> and consultancies</w:t>
      </w:r>
    </w:p>
    <w:p w:rsidR="005A2950" w:rsidP="00A95D7D" w:rsidRDefault="00780212" w14:paraId="1633D14D" w14:textId="1BAFCEE3">
      <w:pPr>
        <w:pStyle w:val="ListParagraph"/>
        <w:numPr>
          <w:ilvl w:val="0"/>
          <w:numId w:val="27"/>
        </w:numPr>
        <w:tabs>
          <w:tab w:val="left" w:pos="838"/>
        </w:tabs>
      </w:pPr>
      <w:r>
        <w:t>U</w:t>
      </w:r>
      <w:r w:rsidR="005A2950">
        <w:t>sers such as merchants, other parts of financial services and the public sector</w:t>
      </w:r>
    </w:p>
    <w:p w:rsidR="005A60BE" w:rsidP="005A60BE" w:rsidRDefault="005A60BE" w14:paraId="1364114B" w14:textId="77777777">
      <w:pPr>
        <w:pStyle w:val="Heading2"/>
      </w:pPr>
      <w:bookmarkStart w:name="_jgilc6r0d3dn" w:colFirst="0" w:colLast="0" w:id="2"/>
      <w:bookmarkStart w:name="_jovv5buu3ccu" w:colFirst="0" w:colLast="0" w:id="3"/>
      <w:bookmarkEnd w:id="2"/>
      <w:bookmarkEnd w:id="3"/>
    </w:p>
    <w:p w:rsidR="005A2950" w:rsidP="005A60BE" w:rsidRDefault="005A2950" w14:paraId="1F6C0DC0" w14:textId="700538E1">
      <w:pPr>
        <w:pStyle w:val="Heading2"/>
      </w:pPr>
      <w:r>
        <w:t>Project Budget</w:t>
      </w:r>
    </w:p>
    <w:p w:rsidR="005A60BE" w:rsidP="005960CA" w:rsidRDefault="005A2950" w14:paraId="0D762BFD" w14:textId="0C4F1900">
      <w:pPr>
        <w:spacing w:before="22"/>
        <w:ind w:right="605"/>
      </w:pPr>
      <w:r>
        <w:t xml:space="preserve">Funding for Project </w:t>
      </w:r>
      <w:r w:rsidR="009B36D0">
        <w:t xml:space="preserve">ESG </w:t>
      </w:r>
      <w:r>
        <w:t xml:space="preserve">will be provided by </w:t>
      </w:r>
      <w:r w:rsidR="009B36D0">
        <w:t>a</w:t>
      </w:r>
      <w:r>
        <w:t xml:space="preserve"> </w:t>
      </w:r>
      <w:r w:rsidR="009B36D0">
        <w:t>B</w:t>
      </w:r>
      <w:r>
        <w:t>enefactor.</w:t>
      </w:r>
      <w:r w:rsidR="009B36D0">
        <w:t xml:space="preserve"> </w:t>
      </w:r>
      <w:r>
        <w:t>Sign-off for any project expenditure will be approved by the Project Mentor, in conjunction with the Project Lead and Head of Projects.</w:t>
      </w:r>
    </w:p>
    <w:p w:rsidR="00841BF6" w:rsidP="005960CA" w:rsidRDefault="00841BF6" w14:paraId="2A46E18A" w14:textId="77777777">
      <w:pPr>
        <w:spacing w:before="22"/>
        <w:ind w:right="605"/>
      </w:pPr>
    </w:p>
    <w:p w:rsidR="005A2950" w:rsidP="005A60BE" w:rsidRDefault="005A2950" w14:paraId="496A701F" w14:textId="5E661666">
      <w:pPr>
        <w:pStyle w:val="Heading2"/>
      </w:pPr>
      <w:r>
        <w:t>Note on Project Activities</w:t>
      </w:r>
    </w:p>
    <w:p w:rsidR="005A2950" w:rsidP="00D829C9" w:rsidRDefault="005A2950" w14:paraId="135C34F3" w14:textId="7A2D687E">
      <w:pPr>
        <w:spacing w:before="22"/>
        <w:ind w:right="923"/>
      </w:pPr>
      <w:r>
        <w:t>The exact deliverables and timescales will be subject to approval and sign-off from</w:t>
      </w:r>
      <w:r w:rsidR="00D829C9">
        <w:t xml:space="preserve"> </w:t>
      </w:r>
      <w:r>
        <w:t xml:space="preserve">the </w:t>
      </w:r>
      <w:r w:rsidR="00D829C9">
        <w:t>P</w:t>
      </w:r>
      <w:r>
        <w:t xml:space="preserve">roject </w:t>
      </w:r>
      <w:r w:rsidR="00D829C9">
        <w:t>M</w:t>
      </w:r>
      <w:r>
        <w:t xml:space="preserve">entor and will be confirmed in the next version of the project specification. It is likely that the scope will change and a small number of high impact activities that are identified will either be at </w:t>
      </w:r>
      <w:proofErr w:type="gramStart"/>
      <w:r>
        <w:t>minimal</w:t>
      </w:r>
      <w:proofErr w:type="gramEnd"/>
      <w:r>
        <w:t xml:space="preserve"> or no cost will be selected, depending on identifying a Benefactor to support the project.</w:t>
      </w:r>
    </w:p>
    <w:p w:rsidR="005A2950" w:rsidP="005A2950" w:rsidRDefault="005A2950" w14:paraId="53680007" w14:textId="77777777">
      <w:pPr>
        <w:spacing w:before="10"/>
        <w:rPr>
          <w:sz w:val="21"/>
          <w:szCs w:val="21"/>
        </w:rPr>
      </w:pPr>
    </w:p>
    <w:p w:rsidR="005A2950" w:rsidP="00D30A1A" w:rsidRDefault="005A2950" w14:paraId="6ACBD7B4" w14:textId="77777777">
      <w:pPr>
        <w:pStyle w:val="Heading2"/>
      </w:pPr>
      <w:r>
        <w:t>Review &amp; Reporting</w:t>
      </w:r>
    </w:p>
    <w:p w:rsidR="005A2950" w:rsidP="00314E88" w:rsidRDefault="005A2950" w14:paraId="291F0AC7" w14:textId="2CD52741">
      <w:pPr>
        <w:spacing w:before="24"/>
        <w:ind w:right="617"/>
      </w:pPr>
      <w:r>
        <w:t>Main achievements and overall project activity will be highlighted at Advisory Board meetings. If project outputs require escalation or may be perceived as being contentious in nature, these will be raised to the Advisory Board for review and guidance.</w:t>
      </w:r>
    </w:p>
    <w:p w:rsidR="005A2950" w:rsidP="005A2950" w:rsidRDefault="005A2950" w14:paraId="26ED4DD6" w14:textId="77777777">
      <w:pPr>
        <w:spacing w:before="10"/>
        <w:rPr>
          <w:sz w:val="21"/>
          <w:szCs w:val="21"/>
        </w:rPr>
      </w:pPr>
    </w:p>
    <w:p w:rsidR="00590379" w:rsidP="00CD5255" w:rsidRDefault="005A2950" w14:paraId="20C9CFB3" w14:textId="448E10D5">
      <w:pPr>
        <w:ind w:right="1119"/>
      </w:pPr>
      <w:r>
        <w:t>The success of the project will be reviewed on an annual basis by the TPA’s Advisory Board, who will choose whether to continue the project or close the project.</w:t>
      </w:r>
      <w:bookmarkStart w:name="_tyjcwt" w:colFirst="0" w:colLast="0" w:id="4"/>
      <w:bookmarkEnd w:id="4"/>
    </w:p>
    <w:p w:rsidR="00D52AC9" w:rsidP="00CD5255" w:rsidRDefault="00D52AC9" w14:paraId="4A4B28F4" w14:textId="77777777">
      <w:pPr>
        <w:ind w:right="1119"/>
      </w:pPr>
    </w:p>
    <w:p w:rsidRPr="00C14AB3" w:rsidR="00D52AC9" w:rsidP="00D52AC9" w:rsidRDefault="00D52AC9" w14:paraId="5D600F07" w14:textId="77777777">
      <w:pPr>
        <w:pStyle w:val="Heading2"/>
        <w:rPr>
          <w:rFonts w:ascii="Times New Roman" w:hAnsi="Times New Roman" w:cs="Times New Roman"/>
          <w:bCs/>
          <w:sz w:val="48"/>
          <w:szCs w:val="48"/>
        </w:rPr>
      </w:pPr>
      <w:r w:rsidRPr="00C14AB3">
        <w:t>Risks and Uncertainties</w:t>
      </w:r>
    </w:p>
    <w:p w:rsidRPr="00C14AB3" w:rsidR="00D52AC9" w:rsidP="00D52AC9" w:rsidRDefault="00D52AC9" w14:paraId="492D77F4" w14:textId="77777777">
      <w:pPr>
        <w:spacing w:before="24"/>
        <w:ind w:right="697"/>
        <w:jc w:val="both"/>
        <w:rPr>
          <w:rFonts w:ascii="Times New Roman" w:hAnsi="Times New Roman" w:eastAsia="Times New Roman" w:cs="Times New Roman"/>
          <w:sz w:val="24"/>
          <w:szCs w:val="24"/>
        </w:rPr>
      </w:pPr>
      <w:r w:rsidRPr="00C14AB3">
        <w:rPr>
          <w:rFonts w:eastAsia="Times New Roman"/>
          <w:color w:val="000000"/>
        </w:rPr>
        <w:t xml:space="preserve">These are the risks that may arise from events that would </w:t>
      </w:r>
      <w:proofErr w:type="spellStart"/>
      <w:r w:rsidRPr="00C14AB3">
        <w:rPr>
          <w:rFonts w:eastAsia="Times New Roman"/>
          <w:color w:val="000000"/>
        </w:rPr>
        <w:t>jeopardise</w:t>
      </w:r>
      <w:proofErr w:type="spellEnd"/>
      <w:r w:rsidRPr="00C14AB3">
        <w:rPr>
          <w:rFonts w:eastAsia="Times New Roman"/>
          <w:color w:val="000000"/>
        </w:rPr>
        <w:t xml:space="preserve"> the project achieving its objectives. Risks may impact on time, cost, or quality of outcome. It is also important to plan what mitigating actions can be taken to lessen the risk.</w:t>
      </w:r>
    </w:p>
    <w:p w:rsidR="00D52AC9" w:rsidP="00CD5255" w:rsidRDefault="00D52AC9" w14:paraId="7E45F8A0" w14:textId="77777777">
      <w:pPr>
        <w:ind w:right="1119"/>
      </w:pPr>
    </w:p>
    <w:p w:rsidR="009465EC" w:rsidP="00CD5255" w:rsidRDefault="009465EC" w14:paraId="19289A77" w14:textId="1A66F6E6">
      <w:pPr>
        <w:ind w:right="1119"/>
      </w:pPr>
    </w:p>
    <w:tbl>
      <w:tblPr>
        <w:tblW w:w="0" w:type="auto"/>
        <w:tblInd w:w="-117" w:type="dxa"/>
        <w:tblCellMar>
          <w:top w:w="15" w:type="dxa"/>
          <w:left w:w="15" w:type="dxa"/>
          <w:bottom w:w="15" w:type="dxa"/>
          <w:right w:w="15" w:type="dxa"/>
        </w:tblCellMar>
        <w:tblLook w:val="04A0" w:firstRow="1" w:lastRow="0" w:firstColumn="1" w:lastColumn="0" w:noHBand="0" w:noVBand="1"/>
      </w:tblPr>
      <w:tblGrid>
        <w:gridCol w:w="2566"/>
        <w:gridCol w:w="1048"/>
        <w:gridCol w:w="748"/>
        <w:gridCol w:w="4771"/>
      </w:tblGrid>
      <w:tr w:rsidRPr="001F7C83" w:rsidR="00173D84" w:rsidTr="009F7113" w14:paraId="765F9523" w14:textId="77777777">
        <w:trPr>
          <w:trHeight w:val="546"/>
        </w:trPr>
        <w:tc>
          <w:tcPr>
            <w:tcW w:w="0" w:type="auto"/>
            <w:tcBorders>
              <w:top w:val="single" w:color="94B3D6" w:sz="4" w:space="0"/>
              <w:left w:val="single" w:color="94B3D6" w:sz="4" w:space="0"/>
              <w:bottom w:val="single" w:color="94B3D6" w:sz="4" w:space="0"/>
              <w:right w:val="single" w:color="94B3D6" w:sz="4" w:space="0"/>
            </w:tcBorders>
            <w:hideMark/>
          </w:tcPr>
          <w:p w:rsidRPr="001F7C83" w:rsidR="00173D84" w:rsidP="009F7113" w:rsidRDefault="00173D84" w14:paraId="6F253AEF" w14:textId="77777777">
            <w:pPr>
              <w:spacing w:before="2"/>
              <w:ind w:left="117"/>
              <w:rPr>
                <w:rFonts w:eastAsia="Times New Roman"/>
                <w:sz w:val="20"/>
                <w:szCs w:val="20"/>
              </w:rPr>
            </w:pPr>
            <w:r w:rsidRPr="001F7C83">
              <w:rPr>
                <w:rFonts w:eastAsia="Times New Roman"/>
                <w:color w:val="000000"/>
                <w:sz w:val="20"/>
                <w:szCs w:val="20"/>
              </w:rPr>
              <w:t>Risk &amp;</w:t>
            </w:r>
          </w:p>
          <w:p w:rsidRPr="001F7C83" w:rsidR="00173D84" w:rsidP="009F7113" w:rsidRDefault="00173D84" w14:paraId="0252C403" w14:textId="77777777">
            <w:pPr>
              <w:spacing w:before="21"/>
              <w:ind w:left="117"/>
              <w:rPr>
                <w:rFonts w:eastAsia="Times New Roman"/>
                <w:sz w:val="20"/>
                <w:szCs w:val="20"/>
              </w:rPr>
            </w:pPr>
            <w:r w:rsidRPr="001F7C83">
              <w:rPr>
                <w:rFonts w:eastAsia="Times New Roman"/>
                <w:color w:val="000000"/>
                <w:sz w:val="20"/>
                <w:szCs w:val="20"/>
              </w:rPr>
              <w:t>Description</w:t>
            </w:r>
          </w:p>
        </w:tc>
        <w:tc>
          <w:tcPr>
            <w:tcW w:w="0" w:type="auto"/>
            <w:tcBorders>
              <w:top w:val="single" w:color="94B3D6" w:sz="4" w:space="0"/>
              <w:left w:val="single" w:color="94B3D6" w:sz="4" w:space="0"/>
              <w:bottom w:val="single" w:color="94B3D6" w:sz="4" w:space="0"/>
              <w:right w:val="single" w:color="94B3D6" w:sz="4" w:space="0"/>
            </w:tcBorders>
            <w:hideMark/>
          </w:tcPr>
          <w:p w:rsidRPr="001F7C83" w:rsidR="00173D84" w:rsidP="009F7113" w:rsidRDefault="00173D84" w14:paraId="3C364AD5" w14:textId="77777777">
            <w:pPr>
              <w:spacing w:before="2"/>
              <w:ind w:left="117"/>
              <w:rPr>
                <w:rFonts w:eastAsia="Times New Roman"/>
                <w:sz w:val="20"/>
                <w:szCs w:val="20"/>
              </w:rPr>
            </w:pPr>
            <w:r w:rsidRPr="001F7C83">
              <w:rPr>
                <w:rFonts w:eastAsia="Times New Roman"/>
                <w:color w:val="000000"/>
                <w:sz w:val="20"/>
                <w:szCs w:val="20"/>
              </w:rPr>
              <w:t>Likelihood</w:t>
            </w:r>
          </w:p>
          <w:p w:rsidRPr="001F7C83" w:rsidR="00173D84" w:rsidP="009F7113" w:rsidRDefault="00173D84" w14:paraId="09E19983" w14:textId="77777777">
            <w:pPr>
              <w:spacing w:before="21"/>
              <w:ind w:left="117"/>
              <w:rPr>
                <w:rFonts w:eastAsia="Times New Roman"/>
                <w:sz w:val="20"/>
                <w:szCs w:val="20"/>
              </w:rPr>
            </w:pPr>
            <w:r w:rsidRPr="001F7C83">
              <w:rPr>
                <w:rFonts w:eastAsia="Times New Roman"/>
                <w:color w:val="000000"/>
                <w:sz w:val="20"/>
                <w:szCs w:val="20"/>
              </w:rPr>
              <w:t xml:space="preserve">(1-5) </w:t>
            </w:r>
            <w:r w:rsidRPr="001F7C83">
              <w:rPr>
                <w:rFonts w:eastAsia="Times New Roman"/>
                <w:color w:val="000000"/>
                <w:sz w:val="20"/>
                <w:szCs w:val="20"/>
                <w:vertAlign w:val="superscript"/>
              </w:rPr>
              <w:t>1</w:t>
            </w:r>
          </w:p>
        </w:tc>
        <w:tc>
          <w:tcPr>
            <w:tcW w:w="0" w:type="auto"/>
            <w:tcBorders>
              <w:top w:val="single" w:color="94B3D6" w:sz="4" w:space="0"/>
              <w:left w:val="single" w:color="94B3D6" w:sz="4" w:space="0"/>
              <w:bottom w:val="single" w:color="94B3D6" w:sz="4" w:space="0"/>
              <w:right w:val="single" w:color="94B3D6" w:sz="4" w:space="0"/>
            </w:tcBorders>
            <w:hideMark/>
          </w:tcPr>
          <w:p w:rsidRPr="001F7C83" w:rsidR="00173D84" w:rsidP="009F7113" w:rsidRDefault="00173D84" w14:paraId="2ECAEFB0" w14:textId="77777777">
            <w:pPr>
              <w:spacing w:before="2"/>
              <w:ind w:left="117"/>
              <w:rPr>
                <w:rFonts w:eastAsia="Times New Roman"/>
                <w:sz w:val="20"/>
                <w:szCs w:val="20"/>
              </w:rPr>
            </w:pPr>
            <w:r w:rsidRPr="001F7C83">
              <w:rPr>
                <w:rFonts w:eastAsia="Times New Roman"/>
                <w:color w:val="000000"/>
                <w:sz w:val="20"/>
                <w:szCs w:val="20"/>
              </w:rPr>
              <w:t>Impact</w:t>
            </w:r>
          </w:p>
          <w:p w:rsidRPr="001F7C83" w:rsidR="00173D84" w:rsidP="009F7113" w:rsidRDefault="00173D84" w14:paraId="3A59F626" w14:textId="77777777">
            <w:pPr>
              <w:spacing w:before="21"/>
              <w:ind w:left="117"/>
              <w:rPr>
                <w:rFonts w:eastAsia="Times New Roman"/>
                <w:sz w:val="20"/>
                <w:szCs w:val="20"/>
              </w:rPr>
            </w:pPr>
            <w:r w:rsidRPr="001F7C83">
              <w:rPr>
                <w:rFonts w:eastAsia="Times New Roman"/>
                <w:color w:val="000000"/>
                <w:sz w:val="20"/>
                <w:szCs w:val="20"/>
              </w:rPr>
              <w:t xml:space="preserve">(1-5) </w:t>
            </w:r>
            <w:r w:rsidRPr="001F7C83">
              <w:rPr>
                <w:rFonts w:eastAsia="Times New Roman"/>
                <w:color w:val="000000"/>
                <w:sz w:val="20"/>
                <w:szCs w:val="20"/>
                <w:vertAlign w:val="superscript"/>
              </w:rPr>
              <w:t>2</w:t>
            </w:r>
          </w:p>
        </w:tc>
        <w:tc>
          <w:tcPr>
            <w:tcW w:w="0" w:type="auto"/>
            <w:tcBorders>
              <w:top w:val="single" w:color="94B3D6" w:sz="4" w:space="0"/>
              <w:left w:val="single" w:color="94B3D6" w:sz="4" w:space="0"/>
              <w:bottom w:val="single" w:color="94B3D6" w:sz="4" w:space="0"/>
              <w:right w:val="single" w:color="94B3D6" w:sz="4" w:space="0"/>
            </w:tcBorders>
            <w:hideMark/>
          </w:tcPr>
          <w:p w:rsidRPr="001F7C83" w:rsidR="00173D84" w:rsidP="009F7113" w:rsidRDefault="00173D84" w14:paraId="2844E706" w14:textId="77777777">
            <w:pPr>
              <w:spacing w:before="2"/>
              <w:ind w:left="117"/>
              <w:rPr>
                <w:rFonts w:eastAsia="Times New Roman"/>
                <w:sz w:val="20"/>
                <w:szCs w:val="20"/>
              </w:rPr>
            </w:pPr>
            <w:r w:rsidRPr="001F7C83">
              <w:rPr>
                <w:rFonts w:eastAsia="Times New Roman"/>
                <w:color w:val="000000"/>
                <w:sz w:val="20"/>
                <w:szCs w:val="20"/>
              </w:rPr>
              <w:t>Initial Mitigating Actions</w:t>
            </w:r>
          </w:p>
        </w:tc>
      </w:tr>
      <w:tr w:rsidRPr="001F7C83" w:rsidR="00173D84" w:rsidTr="009F7113" w14:paraId="5471EE10" w14:textId="77777777">
        <w:trPr>
          <w:trHeight w:val="1984"/>
        </w:trPr>
        <w:tc>
          <w:tcPr>
            <w:tcW w:w="0" w:type="auto"/>
            <w:tcBorders>
              <w:top w:val="single" w:color="94B3D6" w:sz="4" w:space="0"/>
              <w:left w:val="single" w:color="94B3D6" w:sz="4" w:space="0"/>
              <w:bottom w:val="single" w:color="94B3D6" w:sz="4" w:space="0"/>
              <w:right w:val="single" w:color="94B3D6" w:sz="4" w:space="0"/>
            </w:tcBorders>
            <w:hideMark/>
          </w:tcPr>
          <w:p w:rsidRPr="001F7C83" w:rsidR="00173D84" w:rsidP="009F7113" w:rsidRDefault="00173D84" w14:paraId="4BE95640" w14:textId="77777777">
            <w:pPr>
              <w:ind w:left="117" w:right="578"/>
              <w:rPr>
                <w:rFonts w:eastAsia="Times New Roman"/>
                <w:sz w:val="20"/>
                <w:szCs w:val="20"/>
              </w:rPr>
            </w:pPr>
            <w:r w:rsidRPr="001F7C83">
              <w:rPr>
                <w:rFonts w:eastAsia="Times New Roman"/>
                <w:color w:val="000000"/>
                <w:sz w:val="20"/>
                <w:szCs w:val="20"/>
              </w:rPr>
              <w:t>Failure to meaningfully engage with stakeholders</w:t>
            </w:r>
          </w:p>
        </w:tc>
        <w:tc>
          <w:tcPr>
            <w:tcW w:w="0" w:type="auto"/>
            <w:tcBorders>
              <w:top w:val="single" w:color="94B3D6" w:sz="4" w:space="0"/>
              <w:left w:val="single" w:color="94B3D6" w:sz="4" w:space="0"/>
              <w:bottom w:val="single" w:color="94B3D6" w:sz="4" w:space="0"/>
              <w:right w:val="single" w:color="94B3D6" w:sz="4" w:space="0"/>
            </w:tcBorders>
            <w:hideMark/>
          </w:tcPr>
          <w:p w:rsidRPr="001F7C83" w:rsidR="00173D84" w:rsidP="009F7113" w:rsidRDefault="00173D84" w14:paraId="519EBCE0" w14:textId="77777777">
            <w:pPr>
              <w:ind w:left="117"/>
              <w:rPr>
                <w:rFonts w:eastAsia="Times New Roman"/>
                <w:sz w:val="20"/>
                <w:szCs w:val="20"/>
              </w:rPr>
            </w:pPr>
            <w:r w:rsidRPr="001F7C83">
              <w:rPr>
                <w:rFonts w:eastAsia="Times New Roman"/>
                <w:color w:val="000000"/>
                <w:sz w:val="20"/>
                <w:szCs w:val="20"/>
              </w:rPr>
              <w:t>2</w:t>
            </w:r>
          </w:p>
        </w:tc>
        <w:tc>
          <w:tcPr>
            <w:tcW w:w="0" w:type="auto"/>
            <w:tcBorders>
              <w:top w:val="single" w:color="94B3D6" w:sz="4" w:space="0"/>
              <w:left w:val="single" w:color="94B3D6" w:sz="4" w:space="0"/>
              <w:bottom w:val="single" w:color="94B3D6" w:sz="4" w:space="0"/>
              <w:right w:val="single" w:color="94B3D6" w:sz="4" w:space="0"/>
            </w:tcBorders>
            <w:hideMark/>
          </w:tcPr>
          <w:p w:rsidRPr="001F7C83" w:rsidR="00173D84" w:rsidP="009F7113" w:rsidRDefault="00D72CE2" w14:paraId="51C0BF3B" w14:textId="33164DEB">
            <w:pPr>
              <w:ind w:left="117"/>
              <w:rPr>
                <w:rFonts w:eastAsia="Times New Roman"/>
                <w:sz w:val="20"/>
                <w:szCs w:val="20"/>
              </w:rPr>
            </w:pPr>
            <w:r>
              <w:rPr>
                <w:rFonts w:eastAsia="Times New Roman"/>
                <w:sz w:val="20"/>
                <w:szCs w:val="20"/>
              </w:rPr>
              <w:t>5</w:t>
            </w:r>
          </w:p>
        </w:tc>
        <w:tc>
          <w:tcPr>
            <w:tcW w:w="0" w:type="auto"/>
            <w:tcBorders>
              <w:top w:val="single" w:color="94B3D6" w:sz="4" w:space="0"/>
              <w:left w:val="single" w:color="94B3D6" w:sz="4" w:space="0"/>
              <w:bottom w:val="single" w:color="94B3D6" w:sz="4" w:space="0"/>
              <w:right w:val="single" w:color="94B3D6" w:sz="4" w:space="0"/>
            </w:tcBorders>
            <w:hideMark/>
          </w:tcPr>
          <w:p w:rsidRPr="001F7C83" w:rsidR="00173D84" w:rsidP="009F7113" w:rsidRDefault="00173D84" w14:paraId="6A751CD0" w14:textId="77777777">
            <w:pPr>
              <w:ind w:left="117" w:right="154"/>
              <w:rPr>
                <w:rFonts w:eastAsia="Times New Roman"/>
                <w:sz w:val="20"/>
                <w:szCs w:val="20"/>
              </w:rPr>
            </w:pPr>
            <w:r w:rsidRPr="001F7C83">
              <w:rPr>
                <w:rFonts w:eastAsia="Times New Roman"/>
                <w:color w:val="000000"/>
                <w:sz w:val="20"/>
                <w:szCs w:val="20"/>
              </w:rPr>
              <w:t xml:space="preserve">Map project team’s individual and collective network of relevant stakeholders, and </w:t>
            </w:r>
            <w:proofErr w:type="spellStart"/>
            <w:r w:rsidRPr="001F7C83">
              <w:rPr>
                <w:rFonts w:eastAsia="Times New Roman"/>
                <w:color w:val="000000"/>
                <w:sz w:val="20"/>
                <w:szCs w:val="20"/>
              </w:rPr>
              <w:t>utilise</w:t>
            </w:r>
            <w:proofErr w:type="spellEnd"/>
            <w:r w:rsidRPr="001F7C83">
              <w:rPr>
                <w:rFonts w:eastAsia="Times New Roman"/>
                <w:color w:val="000000"/>
                <w:sz w:val="20"/>
                <w:szCs w:val="20"/>
              </w:rPr>
              <w:t xml:space="preserve"> multiple parties to engage with stakeholders</w:t>
            </w:r>
          </w:p>
          <w:p w:rsidRPr="001F7C83" w:rsidR="00173D84" w:rsidP="009F7113" w:rsidRDefault="00173D84" w14:paraId="29DF445C" w14:textId="77777777">
            <w:pPr>
              <w:ind w:left="117"/>
              <w:rPr>
                <w:rFonts w:eastAsia="Times New Roman"/>
                <w:sz w:val="20"/>
                <w:szCs w:val="20"/>
              </w:rPr>
            </w:pPr>
          </w:p>
          <w:p w:rsidRPr="001F7C83" w:rsidR="00173D84" w:rsidP="009F7113" w:rsidRDefault="00173D84" w14:paraId="754E4D5E" w14:textId="77777777">
            <w:pPr>
              <w:ind w:left="117" w:right="65"/>
              <w:rPr>
                <w:rFonts w:eastAsia="Times New Roman"/>
                <w:sz w:val="20"/>
                <w:szCs w:val="20"/>
              </w:rPr>
            </w:pPr>
            <w:r w:rsidRPr="001F7C83">
              <w:rPr>
                <w:rFonts w:eastAsia="Times New Roman"/>
                <w:color w:val="000000"/>
                <w:sz w:val="20"/>
                <w:szCs w:val="20"/>
              </w:rPr>
              <w:t>Upon initial engagement, encourage said stakeholders to review project outputs of interest and call for regular engagement meetings (whether</w:t>
            </w:r>
          </w:p>
          <w:p w:rsidRPr="001F7C83" w:rsidR="00173D84" w:rsidP="009F7113" w:rsidRDefault="00173D84" w14:paraId="57FB0815" w14:textId="77777777">
            <w:pPr>
              <w:ind w:left="117"/>
              <w:rPr>
                <w:rFonts w:eastAsia="Times New Roman"/>
                <w:sz w:val="20"/>
                <w:szCs w:val="20"/>
              </w:rPr>
            </w:pPr>
            <w:r w:rsidRPr="001F7C83">
              <w:rPr>
                <w:rFonts w:eastAsia="Times New Roman"/>
                <w:color w:val="000000"/>
                <w:sz w:val="20"/>
                <w:szCs w:val="20"/>
              </w:rPr>
              <w:t>quarterly or bi-annually)</w:t>
            </w:r>
          </w:p>
        </w:tc>
      </w:tr>
      <w:tr w:rsidRPr="001F7C83" w:rsidR="00173D84" w:rsidTr="009F7113" w14:paraId="5F825EDD" w14:textId="77777777">
        <w:trPr>
          <w:trHeight w:val="1490"/>
        </w:trPr>
        <w:tc>
          <w:tcPr>
            <w:tcW w:w="0" w:type="auto"/>
            <w:tcBorders>
              <w:top w:val="single" w:color="94B3D6" w:sz="4" w:space="0"/>
              <w:left w:val="single" w:color="94B3D6" w:sz="4" w:space="0"/>
              <w:bottom w:val="single" w:color="94B3D6" w:sz="4" w:space="0"/>
              <w:right w:val="single" w:color="94B3D6" w:sz="4" w:space="0"/>
            </w:tcBorders>
            <w:hideMark/>
          </w:tcPr>
          <w:p w:rsidRPr="001F7C83" w:rsidR="00173D84" w:rsidP="009F7113" w:rsidRDefault="00173D84" w14:paraId="31C6ACE3" w14:textId="77777777">
            <w:pPr>
              <w:spacing w:before="2"/>
              <w:ind w:left="117" w:right="211"/>
              <w:rPr>
                <w:rFonts w:eastAsia="Times New Roman"/>
                <w:sz w:val="20"/>
                <w:szCs w:val="20"/>
              </w:rPr>
            </w:pPr>
            <w:r w:rsidRPr="001F7C83">
              <w:rPr>
                <w:rFonts w:eastAsia="Times New Roman"/>
                <w:color w:val="000000"/>
                <w:sz w:val="20"/>
                <w:szCs w:val="20"/>
              </w:rPr>
              <w:t>Failure to secure funding for outputs with associated costs</w:t>
            </w:r>
          </w:p>
        </w:tc>
        <w:tc>
          <w:tcPr>
            <w:tcW w:w="0" w:type="auto"/>
            <w:tcBorders>
              <w:top w:val="single" w:color="94B3D6" w:sz="4" w:space="0"/>
              <w:left w:val="single" w:color="94B3D6" w:sz="4" w:space="0"/>
              <w:bottom w:val="single" w:color="94B3D6" w:sz="4" w:space="0"/>
              <w:right w:val="single" w:color="94B3D6" w:sz="4" w:space="0"/>
            </w:tcBorders>
            <w:hideMark/>
          </w:tcPr>
          <w:p w:rsidRPr="001F7C83" w:rsidR="00173D84" w:rsidP="009F7113" w:rsidRDefault="00D67C22" w14:paraId="2DE34879" w14:textId="7D1B9555">
            <w:pPr>
              <w:spacing w:before="2"/>
              <w:ind w:left="117"/>
              <w:rPr>
                <w:rFonts w:eastAsia="Times New Roman"/>
                <w:sz w:val="20"/>
                <w:szCs w:val="20"/>
              </w:rPr>
            </w:pPr>
            <w:r w:rsidRPr="001F7C83">
              <w:rPr>
                <w:rFonts w:eastAsia="Times New Roman"/>
                <w:sz w:val="20"/>
                <w:szCs w:val="20"/>
              </w:rPr>
              <w:t>3</w:t>
            </w:r>
          </w:p>
        </w:tc>
        <w:tc>
          <w:tcPr>
            <w:tcW w:w="0" w:type="auto"/>
            <w:tcBorders>
              <w:top w:val="single" w:color="94B3D6" w:sz="4" w:space="0"/>
              <w:left w:val="single" w:color="94B3D6" w:sz="4" w:space="0"/>
              <w:bottom w:val="single" w:color="94B3D6" w:sz="4" w:space="0"/>
              <w:right w:val="single" w:color="94B3D6" w:sz="4" w:space="0"/>
            </w:tcBorders>
            <w:hideMark/>
          </w:tcPr>
          <w:p w:rsidRPr="001F7C83" w:rsidR="00173D84" w:rsidP="009F7113" w:rsidRDefault="00D67C22" w14:paraId="036012CB" w14:textId="08B34DC9">
            <w:pPr>
              <w:spacing w:before="2"/>
              <w:ind w:left="117"/>
              <w:rPr>
                <w:rFonts w:eastAsia="Times New Roman"/>
                <w:sz w:val="20"/>
                <w:szCs w:val="20"/>
              </w:rPr>
            </w:pPr>
            <w:r w:rsidRPr="001F7C83">
              <w:rPr>
                <w:rFonts w:eastAsia="Times New Roman"/>
                <w:sz w:val="20"/>
                <w:szCs w:val="20"/>
              </w:rPr>
              <w:t>4</w:t>
            </w:r>
          </w:p>
        </w:tc>
        <w:tc>
          <w:tcPr>
            <w:tcW w:w="0" w:type="auto"/>
            <w:tcBorders>
              <w:top w:val="single" w:color="94B3D6" w:sz="4" w:space="0"/>
              <w:left w:val="single" w:color="94B3D6" w:sz="4" w:space="0"/>
              <w:bottom w:val="single" w:color="94B3D6" w:sz="4" w:space="0"/>
              <w:right w:val="single" w:color="94B3D6" w:sz="4" w:space="0"/>
            </w:tcBorders>
            <w:hideMark/>
          </w:tcPr>
          <w:p w:rsidRPr="001F7C83" w:rsidR="00173D84" w:rsidP="009F7113" w:rsidRDefault="00173D84" w14:paraId="17BD9824" w14:textId="77777777">
            <w:pPr>
              <w:spacing w:before="2"/>
              <w:ind w:left="117" w:right="154"/>
              <w:rPr>
                <w:rFonts w:eastAsia="Times New Roman"/>
                <w:sz w:val="20"/>
                <w:szCs w:val="20"/>
              </w:rPr>
            </w:pPr>
            <w:r w:rsidRPr="001F7C83">
              <w:rPr>
                <w:rFonts w:eastAsia="Times New Roman"/>
                <w:color w:val="000000"/>
                <w:sz w:val="20"/>
                <w:szCs w:val="20"/>
              </w:rPr>
              <w:t xml:space="preserve">Reduce areas of cost where possible. From a content perspective, the project will </w:t>
            </w:r>
            <w:proofErr w:type="spellStart"/>
            <w:r w:rsidRPr="001F7C83">
              <w:rPr>
                <w:rFonts w:eastAsia="Times New Roman"/>
                <w:color w:val="000000"/>
                <w:sz w:val="20"/>
                <w:szCs w:val="20"/>
              </w:rPr>
              <w:t>utilise</w:t>
            </w:r>
            <w:proofErr w:type="spellEnd"/>
            <w:r w:rsidRPr="001F7C83">
              <w:rPr>
                <w:rFonts w:eastAsia="Times New Roman"/>
                <w:color w:val="000000"/>
                <w:sz w:val="20"/>
                <w:szCs w:val="20"/>
              </w:rPr>
              <w:t xml:space="preserve"> project team expertise and insight as a primary source of content for potential outputs (</w:t>
            </w:r>
            <w:proofErr w:type="spellStart"/>
            <w:r w:rsidRPr="001F7C83">
              <w:rPr>
                <w:rFonts w:eastAsia="Times New Roman"/>
                <w:color w:val="000000"/>
                <w:sz w:val="20"/>
                <w:szCs w:val="20"/>
              </w:rPr>
              <w:t>i.e</w:t>
            </w:r>
            <w:proofErr w:type="spellEnd"/>
            <w:r w:rsidRPr="001F7C83">
              <w:rPr>
                <w:rFonts w:eastAsia="Times New Roman"/>
                <w:color w:val="000000"/>
                <w:sz w:val="20"/>
                <w:szCs w:val="20"/>
              </w:rPr>
              <w:t xml:space="preserve"> open letters, blog content).</w:t>
            </w:r>
          </w:p>
        </w:tc>
      </w:tr>
    </w:tbl>
    <w:p w:rsidRPr="001F7C83" w:rsidR="00173D84" w:rsidP="00173D84" w:rsidRDefault="00173D84" w14:paraId="277E308F" w14:textId="77777777">
      <w:pPr>
        <w:rPr>
          <w:rFonts w:eastAsia="Times New Roman"/>
          <w:sz w:val="20"/>
          <w:szCs w:val="20"/>
        </w:rPr>
      </w:pPr>
    </w:p>
    <w:tbl>
      <w:tblPr>
        <w:tblW w:w="0" w:type="auto"/>
        <w:tblInd w:w="-117" w:type="dxa"/>
        <w:tblCellMar>
          <w:top w:w="15" w:type="dxa"/>
          <w:left w:w="15" w:type="dxa"/>
          <w:bottom w:w="15" w:type="dxa"/>
          <w:right w:w="15" w:type="dxa"/>
        </w:tblCellMar>
        <w:tblLook w:val="04A0" w:firstRow="1" w:lastRow="0" w:firstColumn="1" w:lastColumn="0" w:noHBand="0" w:noVBand="1"/>
      </w:tblPr>
      <w:tblGrid>
        <w:gridCol w:w="2773"/>
        <w:gridCol w:w="1110"/>
        <w:gridCol w:w="826"/>
        <w:gridCol w:w="4424"/>
      </w:tblGrid>
      <w:tr w:rsidRPr="001F7C83" w:rsidR="00173D84" w:rsidTr="009F7113" w14:paraId="6C2E9F5D" w14:textId="77777777">
        <w:trPr>
          <w:trHeight w:val="1240"/>
        </w:trPr>
        <w:tc>
          <w:tcPr>
            <w:tcW w:w="0" w:type="auto"/>
            <w:tcBorders>
              <w:top w:val="single" w:color="94B3D6" w:sz="4" w:space="0"/>
              <w:left w:val="single" w:color="94B3D6" w:sz="4" w:space="0"/>
              <w:bottom w:val="single" w:color="94B3D6" w:sz="4" w:space="0"/>
              <w:right w:val="single" w:color="94B3D6" w:sz="4" w:space="0"/>
            </w:tcBorders>
            <w:hideMark/>
          </w:tcPr>
          <w:p w:rsidRPr="001F7C83" w:rsidR="00173D84" w:rsidP="009F7113" w:rsidRDefault="00173D84" w14:paraId="2F19A37C" w14:textId="77777777">
            <w:pPr>
              <w:ind w:left="117"/>
              <w:rPr>
                <w:rFonts w:eastAsia="Times New Roman"/>
                <w:sz w:val="20"/>
                <w:szCs w:val="20"/>
              </w:rPr>
            </w:pPr>
          </w:p>
        </w:tc>
        <w:tc>
          <w:tcPr>
            <w:tcW w:w="1110" w:type="dxa"/>
            <w:tcBorders>
              <w:top w:val="single" w:color="94B3D6" w:sz="4" w:space="0"/>
              <w:left w:val="single" w:color="94B3D6" w:sz="4" w:space="0"/>
              <w:bottom w:val="single" w:color="94B3D6" w:sz="4" w:space="0"/>
              <w:right w:val="single" w:color="94B3D6" w:sz="4" w:space="0"/>
            </w:tcBorders>
            <w:hideMark/>
          </w:tcPr>
          <w:p w:rsidRPr="001F7C83" w:rsidR="00173D84" w:rsidP="009F7113" w:rsidRDefault="00173D84" w14:paraId="05A1951B" w14:textId="77777777">
            <w:pPr>
              <w:ind w:left="117"/>
              <w:rPr>
                <w:rFonts w:eastAsia="Times New Roman"/>
                <w:sz w:val="20"/>
                <w:szCs w:val="20"/>
              </w:rPr>
            </w:pPr>
          </w:p>
        </w:tc>
        <w:tc>
          <w:tcPr>
            <w:tcW w:w="826" w:type="dxa"/>
            <w:tcBorders>
              <w:top w:val="single" w:color="94B3D6" w:sz="4" w:space="0"/>
              <w:left w:val="single" w:color="94B3D6" w:sz="4" w:space="0"/>
              <w:bottom w:val="single" w:color="94B3D6" w:sz="4" w:space="0"/>
              <w:right w:val="single" w:color="94B3D6" w:sz="4" w:space="0"/>
            </w:tcBorders>
            <w:hideMark/>
          </w:tcPr>
          <w:p w:rsidRPr="001F7C83" w:rsidR="00173D84" w:rsidP="009F7113" w:rsidRDefault="00173D84" w14:paraId="22E1E41C" w14:textId="77777777">
            <w:pPr>
              <w:ind w:left="117"/>
              <w:rPr>
                <w:rFonts w:eastAsia="Times New Roman"/>
                <w:sz w:val="20"/>
                <w:szCs w:val="20"/>
              </w:rPr>
            </w:pPr>
          </w:p>
        </w:tc>
        <w:tc>
          <w:tcPr>
            <w:tcW w:w="4424" w:type="dxa"/>
            <w:tcBorders>
              <w:top w:val="single" w:color="94B3D6" w:sz="4" w:space="0"/>
              <w:left w:val="single" w:color="94B3D6" w:sz="4" w:space="0"/>
              <w:bottom w:val="single" w:color="94B3D6" w:sz="4" w:space="0"/>
              <w:right w:val="single" w:color="94B3D6" w:sz="4" w:space="0"/>
            </w:tcBorders>
            <w:hideMark/>
          </w:tcPr>
          <w:p w:rsidRPr="001F7C83" w:rsidR="00173D84" w:rsidP="009F7113" w:rsidRDefault="00173D84" w14:paraId="4EF8BB98" w14:textId="77777777">
            <w:pPr>
              <w:ind w:left="117"/>
              <w:rPr>
                <w:rFonts w:eastAsia="Times New Roman"/>
                <w:sz w:val="20"/>
                <w:szCs w:val="20"/>
              </w:rPr>
            </w:pPr>
            <w:r w:rsidRPr="001F7C83">
              <w:rPr>
                <w:rFonts w:eastAsia="Times New Roman"/>
                <w:color w:val="000000"/>
                <w:sz w:val="20"/>
                <w:szCs w:val="20"/>
              </w:rPr>
              <w:t>Cost-associated outputs will not be commissioned unless a minimum viable threshold for revenue has been achieved. Sponsorship revenue will be driven from the TPA sales team and, if necessary, relevant</w:t>
            </w:r>
          </w:p>
          <w:p w:rsidRPr="001F7C83" w:rsidR="00173D84" w:rsidP="009F7113" w:rsidRDefault="00173D84" w14:paraId="3741A39D" w14:textId="77777777">
            <w:pPr>
              <w:ind w:left="117"/>
              <w:rPr>
                <w:rFonts w:eastAsia="Times New Roman"/>
                <w:sz w:val="20"/>
                <w:szCs w:val="20"/>
              </w:rPr>
            </w:pPr>
            <w:r w:rsidRPr="001F7C83">
              <w:rPr>
                <w:rFonts w:eastAsia="Times New Roman"/>
                <w:color w:val="000000"/>
                <w:sz w:val="20"/>
                <w:szCs w:val="20"/>
              </w:rPr>
              <w:t>Ambassadors (paid on a commission-only basis).</w:t>
            </w:r>
          </w:p>
        </w:tc>
      </w:tr>
      <w:tr w:rsidRPr="001F7C83" w:rsidR="00173D84" w:rsidTr="009F7113" w14:paraId="22733C41" w14:textId="77777777">
        <w:trPr>
          <w:trHeight w:val="3228"/>
        </w:trPr>
        <w:tc>
          <w:tcPr>
            <w:tcW w:w="0" w:type="auto"/>
            <w:tcBorders>
              <w:top w:val="single" w:color="94B3D6" w:sz="4" w:space="0"/>
              <w:left w:val="single" w:color="94B3D6" w:sz="4" w:space="0"/>
              <w:bottom w:val="single" w:color="94B3D6" w:sz="4" w:space="0"/>
              <w:right w:val="single" w:color="94B3D6" w:sz="4" w:space="0"/>
            </w:tcBorders>
            <w:hideMark/>
          </w:tcPr>
          <w:p w:rsidRPr="001F7C83" w:rsidR="00173D84" w:rsidP="009F7113" w:rsidRDefault="00173D84" w14:paraId="53A4B11D" w14:textId="77777777">
            <w:pPr>
              <w:ind w:left="117" w:right="28"/>
              <w:rPr>
                <w:rFonts w:eastAsia="Times New Roman"/>
                <w:sz w:val="20"/>
                <w:szCs w:val="20"/>
              </w:rPr>
            </w:pPr>
            <w:r w:rsidRPr="001F7C83">
              <w:rPr>
                <w:rFonts w:eastAsia="Times New Roman"/>
                <w:color w:val="000000"/>
                <w:sz w:val="20"/>
                <w:szCs w:val="20"/>
              </w:rPr>
              <w:t>Reputational damage incurred by contentious or heavily political content</w:t>
            </w:r>
          </w:p>
        </w:tc>
        <w:tc>
          <w:tcPr>
            <w:tcW w:w="1110" w:type="dxa"/>
            <w:tcBorders>
              <w:top w:val="single" w:color="94B3D6" w:sz="4" w:space="0"/>
              <w:left w:val="single" w:color="94B3D6" w:sz="4" w:space="0"/>
              <w:bottom w:val="single" w:color="94B3D6" w:sz="4" w:space="0"/>
              <w:right w:val="single" w:color="94B3D6" w:sz="4" w:space="0"/>
            </w:tcBorders>
            <w:hideMark/>
          </w:tcPr>
          <w:p w:rsidRPr="001F7C83" w:rsidR="00173D84" w:rsidP="009F7113" w:rsidRDefault="00173D84" w14:paraId="702B88F6" w14:textId="77777777">
            <w:pPr>
              <w:ind w:left="117"/>
              <w:rPr>
                <w:rFonts w:eastAsia="Times New Roman"/>
                <w:sz w:val="20"/>
                <w:szCs w:val="20"/>
              </w:rPr>
            </w:pPr>
            <w:r w:rsidRPr="001F7C83">
              <w:rPr>
                <w:rFonts w:eastAsia="Times New Roman"/>
                <w:color w:val="000000"/>
                <w:sz w:val="20"/>
                <w:szCs w:val="20"/>
              </w:rPr>
              <w:t>3</w:t>
            </w:r>
          </w:p>
        </w:tc>
        <w:tc>
          <w:tcPr>
            <w:tcW w:w="826" w:type="dxa"/>
            <w:tcBorders>
              <w:top w:val="single" w:color="94B3D6" w:sz="4" w:space="0"/>
              <w:left w:val="single" w:color="94B3D6" w:sz="4" w:space="0"/>
              <w:bottom w:val="single" w:color="94B3D6" w:sz="4" w:space="0"/>
              <w:right w:val="single" w:color="94B3D6" w:sz="4" w:space="0"/>
            </w:tcBorders>
            <w:hideMark/>
          </w:tcPr>
          <w:p w:rsidRPr="001F7C83" w:rsidR="00173D84" w:rsidP="009F7113" w:rsidRDefault="00D72CE2" w14:paraId="513246FE" w14:textId="7FFF6F21">
            <w:pPr>
              <w:ind w:left="117"/>
              <w:rPr>
                <w:rFonts w:eastAsia="Times New Roman"/>
                <w:sz w:val="20"/>
                <w:szCs w:val="20"/>
              </w:rPr>
            </w:pPr>
            <w:r>
              <w:rPr>
                <w:rFonts w:eastAsia="Times New Roman"/>
                <w:sz w:val="20"/>
                <w:szCs w:val="20"/>
              </w:rPr>
              <w:t>4</w:t>
            </w:r>
          </w:p>
        </w:tc>
        <w:tc>
          <w:tcPr>
            <w:tcW w:w="4424" w:type="dxa"/>
            <w:tcBorders>
              <w:top w:val="single" w:color="94B3D6" w:sz="4" w:space="0"/>
              <w:left w:val="single" w:color="94B3D6" w:sz="4" w:space="0"/>
              <w:bottom w:val="single" w:color="94B3D6" w:sz="4" w:space="0"/>
              <w:right w:val="single" w:color="94B3D6" w:sz="4" w:space="0"/>
            </w:tcBorders>
            <w:hideMark/>
          </w:tcPr>
          <w:p w:rsidRPr="001F7C83" w:rsidR="00173D84" w:rsidP="009F7113" w:rsidRDefault="00173D84" w14:paraId="10DA6168" w14:textId="77777777">
            <w:pPr>
              <w:ind w:left="117" w:right="154"/>
              <w:rPr>
                <w:rFonts w:eastAsia="Times New Roman"/>
                <w:sz w:val="20"/>
                <w:szCs w:val="20"/>
              </w:rPr>
            </w:pPr>
            <w:r w:rsidRPr="001F7C83">
              <w:rPr>
                <w:rFonts w:eastAsia="Times New Roman"/>
                <w:color w:val="000000"/>
                <w:sz w:val="20"/>
                <w:szCs w:val="20"/>
              </w:rPr>
              <w:t xml:space="preserve">Content of a potentially sensitive or contentious nature will be escalated to the Advisory Board for review. If said content will cause significant reputational damage, it will not be </w:t>
            </w:r>
            <w:proofErr w:type="spellStart"/>
            <w:r w:rsidRPr="001F7C83">
              <w:rPr>
                <w:rFonts w:eastAsia="Times New Roman"/>
                <w:color w:val="000000"/>
                <w:sz w:val="20"/>
                <w:szCs w:val="20"/>
              </w:rPr>
              <w:t>publicised</w:t>
            </w:r>
            <w:proofErr w:type="spellEnd"/>
            <w:r w:rsidRPr="001F7C83">
              <w:rPr>
                <w:rFonts w:eastAsia="Times New Roman"/>
                <w:color w:val="000000"/>
                <w:sz w:val="20"/>
                <w:szCs w:val="20"/>
              </w:rPr>
              <w:t>.</w:t>
            </w:r>
          </w:p>
          <w:p w:rsidRPr="001F7C83" w:rsidR="00173D84" w:rsidP="009F7113" w:rsidRDefault="00173D84" w14:paraId="24D7922C" w14:textId="77777777">
            <w:pPr>
              <w:ind w:left="117"/>
              <w:rPr>
                <w:rFonts w:eastAsia="Times New Roman"/>
                <w:sz w:val="20"/>
                <w:szCs w:val="20"/>
              </w:rPr>
            </w:pPr>
          </w:p>
          <w:p w:rsidRPr="001F7C83" w:rsidR="00173D84" w:rsidP="009F7113" w:rsidRDefault="00173D84" w14:paraId="7D0F6F15" w14:textId="77777777">
            <w:pPr>
              <w:ind w:left="117" w:right="382"/>
              <w:rPr>
                <w:rFonts w:eastAsia="Times New Roman"/>
                <w:sz w:val="20"/>
                <w:szCs w:val="20"/>
              </w:rPr>
            </w:pPr>
            <w:r w:rsidRPr="001F7C83">
              <w:rPr>
                <w:rFonts w:eastAsia="Times New Roman"/>
                <w:color w:val="000000"/>
                <w:sz w:val="20"/>
                <w:szCs w:val="20"/>
              </w:rPr>
              <w:t>Content that is of a potentially sensitive or contentious will not be attributed to specific TPA members to avoid any risk-by-association for TPA members.</w:t>
            </w:r>
          </w:p>
          <w:p w:rsidRPr="001F7C83" w:rsidR="00173D84" w:rsidP="009F7113" w:rsidRDefault="00173D84" w14:paraId="5425754F" w14:textId="77777777">
            <w:pPr>
              <w:ind w:left="117"/>
              <w:rPr>
                <w:rFonts w:eastAsia="Times New Roman"/>
                <w:sz w:val="20"/>
                <w:szCs w:val="20"/>
              </w:rPr>
            </w:pPr>
          </w:p>
          <w:p w:rsidRPr="001F7C83" w:rsidR="00173D84" w:rsidP="009F7113" w:rsidRDefault="00173D84" w14:paraId="3C123B21" w14:textId="77777777">
            <w:pPr>
              <w:ind w:left="117" w:right="111"/>
              <w:rPr>
                <w:rFonts w:eastAsia="Times New Roman"/>
                <w:sz w:val="20"/>
                <w:szCs w:val="20"/>
              </w:rPr>
            </w:pPr>
            <w:r w:rsidRPr="001F7C83">
              <w:rPr>
                <w:rFonts w:eastAsia="Times New Roman"/>
                <w:color w:val="000000"/>
                <w:sz w:val="20"/>
                <w:szCs w:val="20"/>
              </w:rPr>
              <w:t xml:space="preserve">TPA will work with external PR agency, </w:t>
            </w:r>
            <w:proofErr w:type="spellStart"/>
            <w:r w:rsidRPr="001F7C83">
              <w:rPr>
                <w:rFonts w:eastAsia="Times New Roman"/>
                <w:color w:val="000000"/>
                <w:sz w:val="20"/>
                <w:szCs w:val="20"/>
              </w:rPr>
              <w:t>SkyParlour</w:t>
            </w:r>
            <w:proofErr w:type="spellEnd"/>
            <w:r w:rsidRPr="001F7C83">
              <w:rPr>
                <w:rFonts w:eastAsia="Times New Roman"/>
                <w:color w:val="000000"/>
                <w:sz w:val="20"/>
                <w:szCs w:val="20"/>
              </w:rPr>
              <w:t>, to curate a position or statement that can be used as a reactive piece.</w:t>
            </w:r>
          </w:p>
        </w:tc>
      </w:tr>
      <w:tr w:rsidRPr="001F7C83" w:rsidR="00173D84" w:rsidTr="009F7113" w14:paraId="40BEB1E9" w14:textId="77777777">
        <w:trPr>
          <w:trHeight w:val="1490"/>
        </w:trPr>
        <w:tc>
          <w:tcPr>
            <w:tcW w:w="0" w:type="auto"/>
            <w:tcBorders>
              <w:top w:val="single" w:color="94B3D6" w:sz="4" w:space="0"/>
              <w:left w:val="single" w:color="94B3D6" w:sz="4" w:space="0"/>
              <w:bottom w:val="single" w:color="94B3D6" w:sz="4" w:space="0"/>
              <w:right w:val="single" w:color="94B3D6" w:sz="4" w:space="0"/>
            </w:tcBorders>
            <w:hideMark/>
          </w:tcPr>
          <w:p w:rsidRPr="001F7C83" w:rsidR="00173D84" w:rsidP="009F7113" w:rsidRDefault="00173D84" w14:paraId="39DB463B" w14:textId="77777777">
            <w:pPr>
              <w:ind w:left="117"/>
              <w:rPr>
                <w:rFonts w:eastAsia="Times New Roman"/>
                <w:sz w:val="20"/>
                <w:szCs w:val="20"/>
              </w:rPr>
            </w:pPr>
            <w:r w:rsidRPr="001F7C83">
              <w:rPr>
                <w:rFonts w:eastAsia="Times New Roman"/>
                <w:color w:val="000000"/>
                <w:sz w:val="20"/>
                <w:szCs w:val="20"/>
              </w:rPr>
              <w:t>Scope creep</w:t>
            </w:r>
          </w:p>
        </w:tc>
        <w:tc>
          <w:tcPr>
            <w:tcW w:w="1110" w:type="dxa"/>
            <w:tcBorders>
              <w:top w:val="single" w:color="94B3D6" w:sz="4" w:space="0"/>
              <w:left w:val="single" w:color="94B3D6" w:sz="4" w:space="0"/>
              <w:bottom w:val="single" w:color="94B3D6" w:sz="4" w:space="0"/>
              <w:right w:val="single" w:color="94B3D6" w:sz="4" w:space="0"/>
            </w:tcBorders>
            <w:hideMark/>
          </w:tcPr>
          <w:p w:rsidRPr="001F7C83" w:rsidR="00173D84" w:rsidP="009F7113" w:rsidRDefault="00D72CE2" w14:paraId="2C221D40" w14:textId="1E525791">
            <w:pPr>
              <w:ind w:left="117"/>
              <w:rPr>
                <w:rFonts w:eastAsia="Times New Roman"/>
                <w:sz w:val="20"/>
                <w:szCs w:val="20"/>
              </w:rPr>
            </w:pPr>
            <w:r>
              <w:rPr>
                <w:rFonts w:eastAsia="Times New Roman"/>
                <w:sz w:val="20"/>
                <w:szCs w:val="20"/>
              </w:rPr>
              <w:t>3</w:t>
            </w:r>
          </w:p>
        </w:tc>
        <w:tc>
          <w:tcPr>
            <w:tcW w:w="826" w:type="dxa"/>
            <w:tcBorders>
              <w:top w:val="single" w:color="94B3D6" w:sz="4" w:space="0"/>
              <w:left w:val="single" w:color="94B3D6" w:sz="4" w:space="0"/>
              <w:bottom w:val="single" w:color="94B3D6" w:sz="4" w:space="0"/>
              <w:right w:val="single" w:color="94B3D6" w:sz="4" w:space="0"/>
            </w:tcBorders>
            <w:hideMark/>
          </w:tcPr>
          <w:p w:rsidRPr="001F7C83" w:rsidR="00173D84" w:rsidP="009F7113" w:rsidRDefault="00D72CE2" w14:paraId="33C8F598" w14:textId="14AA5044">
            <w:pPr>
              <w:ind w:left="117"/>
              <w:rPr>
                <w:rFonts w:eastAsia="Times New Roman"/>
                <w:sz w:val="20"/>
                <w:szCs w:val="20"/>
              </w:rPr>
            </w:pPr>
            <w:r>
              <w:rPr>
                <w:rFonts w:eastAsia="Times New Roman"/>
                <w:sz w:val="20"/>
                <w:szCs w:val="20"/>
              </w:rPr>
              <w:t>2</w:t>
            </w:r>
          </w:p>
        </w:tc>
        <w:tc>
          <w:tcPr>
            <w:tcW w:w="4424" w:type="dxa"/>
            <w:tcBorders>
              <w:top w:val="single" w:color="94B3D6" w:sz="4" w:space="0"/>
              <w:left w:val="single" w:color="94B3D6" w:sz="4" w:space="0"/>
              <w:bottom w:val="single" w:color="94B3D6" w:sz="4" w:space="0"/>
              <w:right w:val="single" w:color="94B3D6" w:sz="4" w:space="0"/>
            </w:tcBorders>
            <w:hideMark/>
          </w:tcPr>
          <w:p w:rsidRPr="001F7C83" w:rsidR="00173D84" w:rsidP="009F7113" w:rsidRDefault="00173D84" w14:paraId="3F829DCA" w14:textId="77777777">
            <w:pPr>
              <w:ind w:left="117"/>
              <w:rPr>
                <w:rFonts w:eastAsia="Times New Roman"/>
                <w:sz w:val="20"/>
                <w:szCs w:val="20"/>
              </w:rPr>
            </w:pPr>
            <w:r w:rsidRPr="001F7C83">
              <w:rPr>
                <w:rFonts w:eastAsia="Times New Roman"/>
                <w:color w:val="000000"/>
                <w:sz w:val="20"/>
                <w:szCs w:val="20"/>
              </w:rPr>
              <w:t>Review present specification prior to first launch meeting to ensure that specification is achievable</w:t>
            </w:r>
          </w:p>
          <w:p w:rsidRPr="001F7C83" w:rsidR="00173D84" w:rsidP="009F7113" w:rsidRDefault="00173D84" w14:paraId="10EC127F" w14:textId="77777777">
            <w:pPr>
              <w:ind w:left="117"/>
              <w:rPr>
                <w:rFonts w:eastAsia="Times New Roman"/>
                <w:sz w:val="20"/>
                <w:szCs w:val="20"/>
              </w:rPr>
            </w:pPr>
          </w:p>
          <w:p w:rsidRPr="001F7C83" w:rsidR="00173D84" w:rsidP="009F7113" w:rsidRDefault="00173D84" w14:paraId="4B8E49E2" w14:textId="77777777">
            <w:pPr>
              <w:ind w:left="117"/>
              <w:rPr>
                <w:rFonts w:eastAsia="Times New Roman"/>
                <w:sz w:val="20"/>
                <w:szCs w:val="20"/>
              </w:rPr>
            </w:pPr>
            <w:r w:rsidRPr="001F7C83">
              <w:rPr>
                <w:rFonts w:eastAsia="Times New Roman"/>
                <w:color w:val="000000"/>
                <w:sz w:val="20"/>
                <w:szCs w:val="20"/>
              </w:rPr>
              <w:t>Avoid broad themes/initiatives</w:t>
            </w:r>
          </w:p>
          <w:p w:rsidRPr="001F7C83" w:rsidR="00173D84" w:rsidP="009F7113" w:rsidRDefault="00173D84" w14:paraId="2CB54256" w14:textId="77777777">
            <w:pPr>
              <w:spacing w:before="10"/>
              <w:ind w:left="117"/>
              <w:rPr>
                <w:rFonts w:eastAsia="Times New Roman"/>
                <w:sz w:val="20"/>
                <w:szCs w:val="20"/>
              </w:rPr>
            </w:pPr>
            <w:r w:rsidRPr="001F7C83">
              <w:rPr>
                <w:rFonts w:eastAsia="Times New Roman"/>
                <w:color w:val="000000"/>
                <w:sz w:val="20"/>
                <w:szCs w:val="20"/>
              </w:rPr>
              <w:t>Identify high-impact and achievable outputs for the project</w:t>
            </w:r>
          </w:p>
        </w:tc>
      </w:tr>
    </w:tbl>
    <w:p w:rsidRPr="001F7C83" w:rsidR="00173D84" w:rsidP="00173D84" w:rsidRDefault="00173D84" w14:paraId="6EBC1B39" w14:textId="77777777">
      <w:pPr>
        <w:rPr>
          <w:rFonts w:eastAsia="Times New Roman"/>
          <w:sz w:val="20"/>
          <w:szCs w:val="20"/>
        </w:rPr>
      </w:pPr>
    </w:p>
    <w:p w:rsidRPr="001F7C83" w:rsidR="00173D84" w:rsidP="00173D84" w:rsidRDefault="00173D84" w14:paraId="416D42E8" w14:textId="77777777">
      <w:pPr>
        <w:spacing w:before="93"/>
        <w:rPr>
          <w:rFonts w:eastAsia="Times New Roman"/>
          <w:sz w:val="20"/>
          <w:szCs w:val="20"/>
        </w:rPr>
      </w:pPr>
      <w:r w:rsidRPr="001F7C83">
        <w:rPr>
          <w:rFonts w:eastAsia="Times New Roman"/>
          <w:color w:val="000000"/>
          <w:sz w:val="20"/>
          <w:szCs w:val="20"/>
        </w:rPr>
        <w:t>Key:</w:t>
      </w:r>
    </w:p>
    <w:p w:rsidRPr="001F7C83" w:rsidR="00173D84" w:rsidP="00173D84" w:rsidRDefault="00173D84" w14:paraId="17AC9906" w14:textId="77777777">
      <w:pPr>
        <w:widowControl/>
        <w:numPr>
          <w:ilvl w:val="0"/>
          <w:numId w:val="30"/>
        </w:numPr>
        <w:tabs>
          <w:tab w:val="clear" w:pos="720"/>
          <w:tab w:val="num" w:pos="603"/>
        </w:tabs>
        <w:spacing w:before="20"/>
        <w:ind w:left="0" w:firstLine="0"/>
        <w:textAlignment w:val="baseline"/>
        <w:rPr>
          <w:rFonts w:eastAsia="Times New Roman"/>
          <w:color w:val="000000"/>
          <w:sz w:val="20"/>
          <w:szCs w:val="20"/>
        </w:rPr>
      </w:pPr>
      <w:r w:rsidRPr="001F7C83">
        <w:rPr>
          <w:rFonts w:eastAsia="Times New Roman"/>
          <w:color w:val="000000"/>
          <w:sz w:val="20"/>
          <w:szCs w:val="20"/>
        </w:rPr>
        <w:t xml:space="preserve">Likelihood </w:t>
      </w:r>
      <w:r w:rsidRPr="001F7C83">
        <w:rPr>
          <w:rFonts w:eastAsia="Times New Roman"/>
          <w:color w:val="000000"/>
          <w:sz w:val="20"/>
          <w:szCs w:val="20"/>
          <w:vertAlign w:val="superscript"/>
        </w:rPr>
        <w:t>1</w:t>
      </w:r>
      <w:r w:rsidRPr="001F7C83">
        <w:rPr>
          <w:rFonts w:eastAsia="Times New Roman"/>
          <w:color w:val="000000"/>
          <w:sz w:val="20"/>
          <w:szCs w:val="20"/>
        </w:rPr>
        <w:t>: Score 1 = Rare and 5 = Almost Certain</w:t>
      </w:r>
    </w:p>
    <w:p w:rsidRPr="001F7C83" w:rsidR="00173D84" w:rsidP="00173D84" w:rsidRDefault="00173D84" w14:paraId="53772D61" w14:textId="77777777">
      <w:pPr>
        <w:widowControl/>
        <w:numPr>
          <w:ilvl w:val="0"/>
          <w:numId w:val="29"/>
        </w:numPr>
        <w:tabs>
          <w:tab w:val="clear" w:pos="720"/>
          <w:tab w:val="num" w:pos="603"/>
        </w:tabs>
        <w:spacing w:before="20"/>
        <w:ind w:left="0" w:firstLine="0"/>
        <w:textAlignment w:val="baseline"/>
        <w:rPr>
          <w:rFonts w:eastAsiaTheme="majorEastAsia"/>
          <w:color w:val="2F5496" w:themeColor="accent1" w:themeShade="BF"/>
          <w:sz w:val="20"/>
          <w:szCs w:val="20"/>
        </w:rPr>
      </w:pPr>
      <w:r w:rsidRPr="001F7C83">
        <w:rPr>
          <w:rFonts w:eastAsia="Times New Roman"/>
          <w:color w:val="000000"/>
          <w:sz w:val="20"/>
          <w:szCs w:val="20"/>
        </w:rPr>
        <w:t xml:space="preserve">Impact on time </w:t>
      </w:r>
      <w:r w:rsidRPr="001F7C83">
        <w:rPr>
          <w:rFonts w:eastAsia="Times New Roman"/>
          <w:color w:val="000000"/>
          <w:sz w:val="20"/>
          <w:szCs w:val="20"/>
          <w:vertAlign w:val="superscript"/>
        </w:rPr>
        <w:t>2</w:t>
      </w:r>
      <w:r w:rsidRPr="001F7C83">
        <w:rPr>
          <w:rFonts w:eastAsia="Times New Roman"/>
          <w:color w:val="000000"/>
          <w:sz w:val="20"/>
          <w:szCs w:val="20"/>
        </w:rPr>
        <w:t>: Cost and quality of project deliverables: 1 = Insignificant and 5 = Catastrophic</w:t>
      </w:r>
    </w:p>
    <w:p w:rsidRPr="001F7C83" w:rsidR="00173D84" w:rsidP="00CD5255" w:rsidRDefault="00173D84" w14:paraId="14287535" w14:textId="77777777">
      <w:pPr>
        <w:ind w:right="1119"/>
        <w:rPr>
          <w:sz w:val="20"/>
          <w:szCs w:val="20"/>
        </w:rPr>
      </w:pPr>
    </w:p>
    <w:sectPr w:rsidRPr="001F7C83" w:rsidR="00173D84">
      <w:headerReference w:type="default" r:id="rId12"/>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0BA9" w:rsidP="00590379" w:rsidRDefault="005D0BA9" w14:paraId="0D202543" w14:textId="77777777">
      <w:r>
        <w:separator/>
      </w:r>
    </w:p>
  </w:endnote>
  <w:endnote w:type="continuationSeparator" w:id="0">
    <w:p w:rsidR="005D0BA9" w:rsidP="00590379" w:rsidRDefault="005D0BA9" w14:paraId="79DF390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F3819" w:rsidR="00CF3819" w:rsidRDefault="009E0071" w14:paraId="700C5D57" w14:textId="4747AEBE">
    <w:pPr>
      <w:pStyle w:val="Footer"/>
      <w:rPr>
        <w:sz w:val="18"/>
        <w:szCs w:val="18"/>
      </w:rPr>
    </w:pPr>
    <w:r>
      <w:rPr>
        <w:sz w:val="18"/>
        <w:szCs w:val="18"/>
      </w:rPr>
      <w:t>Project ESG – Project Specification (V4)</w:t>
    </w:r>
    <w:r w:rsidR="00CF3819">
      <w:rPr>
        <w:sz w:val="18"/>
        <w:szCs w:val="18"/>
      </w:rPr>
      <w:tab/>
    </w:r>
    <w:r w:rsidR="00CF3819">
      <w:rPr>
        <w:sz w:val="18"/>
        <w:szCs w:val="18"/>
      </w:rPr>
      <w:t xml:space="preserve">Page </w:t>
    </w:r>
    <w:r w:rsidRPr="00CF3819" w:rsidR="00CF3819">
      <w:rPr>
        <w:sz w:val="18"/>
        <w:szCs w:val="18"/>
      </w:rPr>
      <w:fldChar w:fldCharType="begin"/>
    </w:r>
    <w:r w:rsidRPr="00CF3819" w:rsidR="00CF3819">
      <w:rPr>
        <w:sz w:val="18"/>
        <w:szCs w:val="18"/>
      </w:rPr>
      <w:instrText xml:space="preserve"> PAGE   \* MERGEFORMAT </w:instrText>
    </w:r>
    <w:r w:rsidRPr="00CF3819" w:rsidR="00CF3819">
      <w:rPr>
        <w:sz w:val="18"/>
        <w:szCs w:val="18"/>
      </w:rPr>
      <w:fldChar w:fldCharType="separate"/>
    </w:r>
    <w:r w:rsidRPr="00CF3819" w:rsidR="00CF3819">
      <w:rPr>
        <w:noProof/>
        <w:sz w:val="18"/>
        <w:szCs w:val="18"/>
      </w:rPr>
      <w:t>1</w:t>
    </w:r>
    <w:r w:rsidRPr="00CF3819" w:rsidR="00CF381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0BA9" w:rsidP="00590379" w:rsidRDefault="005D0BA9" w14:paraId="7DD627FB" w14:textId="77777777">
      <w:r>
        <w:separator/>
      </w:r>
    </w:p>
  </w:footnote>
  <w:footnote w:type="continuationSeparator" w:id="0">
    <w:p w:rsidR="005D0BA9" w:rsidP="00590379" w:rsidRDefault="005D0BA9" w14:paraId="020CA08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50468" w:rsidRDefault="00FD44A6" w14:paraId="012AE761" w14:textId="184175CC">
    <w:pPr>
      <w:pStyle w:val="Header"/>
    </w:pPr>
    <w:r>
      <w:rPr>
        <w:noProof/>
        <w:bdr w:val="none" w:color="auto" w:sz="0" w:space="0" w:frame="1"/>
      </w:rPr>
      <w:drawing>
        <wp:anchor distT="0" distB="0" distL="114300" distR="114300" simplePos="0" relativeHeight="251659264" behindDoc="1" locked="0" layoutInCell="1" allowOverlap="1" wp14:anchorId="2250D439" wp14:editId="28B5675F">
          <wp:simplePos x="0" y="0"/>
          <wp:positionH relativeFrom="column">
            <wp:posOffset>4762500</wp:posOffset>
          </wp:positionH>
          <wp:positionV relativeFrom="paragraph">
            <wp:posOffset>-163830</wp:posOffset>
          </wp:positionV>
          <wp:extent cx="1394460" cy="1112520"/>
          <wp:effectExtent l="0" t="0" r="0" b="0"/>
          <wp:wrapTight wrapText="bothSides">
            <wp:wrapPolygon edited="0">
              <wp:start x="2951" y="0"/>
              <wp:lineTo x="2951" y="17384"/>
              <wp:lineTo x="0" y="18863"/>
              <wp:lineTo x="0" y="21082"/>
              <wp:lineTo x="885" y="21082"/>
              <wp:lineTo x="21246" y="21082"/>
              <wp:lineTo x="21246" y="18493"/>
              <wp:lineTo x="18885" y="17014"/>
              <wp:lineTo x="18295" y="0"/>
              <wp:lineTo x="2951" y="0"/>
            </wp:wrapPolygon>
          </wp:wrapTight>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1112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70F"/>
    <w:multiLevelType w:val="hybridMultilevel"/>
    <w:tmpl w:val="78C477CE"/>
    <w:lvl w:ilvl="0" w:tplc="08090005">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055A786D"/>
    <w:multiLevelType w:val="multilevel"/>
    <w:tmpl w:val="A56A43F6"/>
    <w:lvl w:ilvl="0">
      <w:numFmt w:val="bullet"/>
      <w:lvlText w:val="▪"/>
      <w:lvlJc w:val="left"/>
      <w:pPr>
        <w:ind w:left="477" w:hanging="360"/>
      </w:pPr>
      <w:rPr>
        <w:rFonts w:ascii="Arial" w:hAnsi="Arial" w:eastAsia="Arial" w:cs="Arial"/>
        <w:sz w:val="22"/>
        <w:szCs w:val="22"/>
      </w:rPr>
    </w:lvl>
    <w:lvl w:ilvl="1">
      <w:start w:val="1"/>
      <w:numFmt w:val="decimal"/>
      <w:lvlText w:val="%2."/>
      <w:lvlJc w:val="left"/>
      <w:pPr>
        <w:ind w:left="837" w:hanging="360"/>
      </w:pPr>
      <w:rPr>
        <w:rFonts w:ascii="Arial" w:hAnsi="Arial" w:eastAsia="Arial" w:cs="Arial"/>
        <w:sz w:val="22"/>
        <w:szCs w:val="22"/>
      </w:rPr>
    </w:lvl>
    <w:lvl w:ilvl="2">
      <w:numFmt w:val="bullet"/>
      <w:lvlText w:val="•"/>
      <w:lvlJc w:val="left"/>
      <w:pPr>
        <w:ind w:left="1808" w:hanging="360"/>
      </w:pPr>
    </w:lvl>
    <w:lvl w:ilvl="3">
      <w:numFmt w:val="bullet"/>
      <w:lvlText w:val="•"/>
      <w:lvlJc w:val="left"/>
      <w:pPr>
        <w:ind w:left="2777" w:hanging="360"/>
      </w:pPr>
    </w:lvl>
    <w:lvl w:ilvl="4">
      <w:numFmt w:val="bullet"/>
      <w:lvlText w:val="•"/>
      <w:lvlJc w:val="left"/>
      <w:pPr>
        <w:ind w:left="3746" w:hanging="360"/>
      </w:pPr>
    </w:lvl>
    <w:lvl w:ilvl="5">
      <w:numFmt w:val="bullet"/>
      <w:lvlText w:val="•"/>
      <w:lvlJc w:val="left"/>
      <w:pPr>
        <w:ind w:left="4715" w:hanging="360"/>
      </w:pPr>
    </w:lvl>
    <w:lvl w:ilvl="6">
      <w:numFmt w:val="bullet"/>
      <w:lvlText w:val="•"/>
      <w:lvlJc w:val="left"/>
      <w:pPr>
        <w:ind w:left="5684" w:hanging="360"/>
      </w:pPr>
    </w:lvl>
    <w:lvl w:ilvl="7">
      <w:numFmt w:val="bullet"/>
      <w:lvlText w:val="•"/>
      <w:lvlJc w:val="left"/>
      <w:pPr>
        <w:ind w:left="6652" w:hanging="360"/>
      </w:pPr>
    </w:lvl>
    <w:lvl w:ilvl="8">
      <w:numFmt w:val="bullet"/>
      <w:lvlText w:val="•"/>
      <w:lvlJc w:val="left"/>
      <w:pPr>
        <w:ind w:left="7621" w:hanging="360"/>
      </w:pPr>
    </w:lvl>
  </w:abstractNum>
  <w:abstractNum w:abstractNumId="2" w15:restartNumberingAfterBreak="0">
    <w:nsid w:val="087D51CB"/>
    <w:multiLevelType w:val="hybridMultilevel"/>
    <w:tmpl w:val="29948C34"/>
    <w:lvl w:ilvl="0" w:tplc="DE9C9A70">
      <w:numFmt w:val="bullet"/>
      <w:lvlText w:val="-"/>
      <w:lvlJc w:val="left"/>
      <w:pPr>
        <w:ind w:left="720" w:hanging="360"/>
      </w:pPr>
      <w:rPr>
        <w:rFonts w:hint="default" w:ascii="Arial" w:hAnsi="Arial" w:eastAsia="Arial"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D5F3479"/>
    <w:multiLevelType w:val="hybridMultilevel"/>
    <w:tmpl w:val="6D8621DA"/>
    <w:lvl w:ilvl="0" w:tplc="FFFFFFFF">
      <w:start w:val="1"/>
      <w:numFmt w:val="bullet"/>
      <w:lvlText w:val="•"/>
      <w:lvlJc w:val="left"/>
      <w:pPr>
        <w:tabs>
          <w:tab w:val="num" w:pos="360"/>
        </w:tabs>
        <w:ind w:left="360" w:hanging="360"/>
      </w:pPr>
      <w:rPr>
        <w:rFonts w:hint="default" w:ascii="Arial" w:hAnsi="Arial"/>
      </w:rPr>
    </w:lvl>
    <w:lvl w:ilvl="1" w:tplc="08090005">
      <w:start w:val="1"/>
      <w:numFmt w:val="bullet"/>
      <w:lvlText w:val=""/>
      <w:lvlJc w:val="left"/>
      <w:pPr>
        <w:tabs>
          <w:tab w:val="num" w:pos="1080"/>
        </w:tabs>
        <w:ind w:left="1080" w:hanging="360"/>
      </w:pPr>
      <w:rPr>
        <w:rFonts w:hint="default" w:ascii="Wingdings" w:hAnsi="Wingdings"/>
      </w:rPr>
    </w:lvl>
    <w:lvl w:ilvl="2" w:tplc="FFFFFFFF" w:tentative="1">
      <w:start w:val="1"/>
      <w:numFmt w:val="bullet"/>
      <w:lvlText w:val="•"/>
      <w:lvlJc w:val="left"/>
      <w:pPr>
        <w:tabs>
          <w:tab w:val="num" w:pos="1800"/>
        </w:tabs>
        <w:ind w:left="1800" w:hanging="360"/>
      </w:pPr>
      <w:rPr>
        <w:rFonts w:hint="default" w:ascii="Arial" w:hAnsi="Arial"/>
      </w:rPr>
    </w:lvl>
    <w:lvl w:ilvl="3" w:tplc="FFFFFFFF" w:tentative="1">
      <w:start w:val="1"/>
      <w:numFmt w:val="bullet"/>
      <w:lvlText w:val="•"/>
      <w:lvlJc w:val="left"/>
      <w:pPr>
        <w:tabs>
          <w:tab w:val="num" w:pos="2520"/>
        </w:tabs>
        <w:ind w:left="2520" w:hanging="360"/>
      </w:pPr>
      <w:rPr>
        <w:rFonts w:hint="default" w:ascii="Arial" w:hAnsi="Arial"/>
      </w:rPr>
    </w:lvl>
    <w:lvl w:ilvl="4" w:tplc="FFFFFFFF" w:tentative="1">
      <w:start w:val="1"/>
      <w:numFmt w:val="bullet"/>
      <w:lvlText w:val="•"/>
      <w:lvlJc w:val="left"/>
      <w:pPr>
        <w:tabs>
          <w:tab w:val="num" w:pos="3240"/>
        </w:tabs>
        <w:ind w:left="3240" w:hanging="360"/>
      </w:pPr>
      <w:rPr>
        <w:rFonts w:hint="default" w:ascii="Arial" w:hAnsi="Arial"/>
      </w:rPr>
    </w:lvl>
    <w:lvl w:ilvl="5" w:tplc="FFFFFFFF" w:tentative="1">
      <w:start w:val="1"/>
      <w:numFmt w:val="bullet"/>
      <w:lvlText w:val="•"/>
      <w:lvlJc w:val="left"/>
      <w:pPr>
        <w:tabs>
          <w:tab w:val="num" w:pos="3960"/>
        </w:tabs>
        <w:ind w:left="3960" w:hanging="360"/>
      </w:pPr>
      <w:rPr>
        <w:rFonts w:hint="default" w:ascii="Arial" w:hAnsi="Arial"/>
      </w:rPr>
    </w:lvl>
    <w:lvl w:ilvl="6" w:tplc="FFFFFFFF" w:tentative="1">
      <w:start w:val="1"/>
      <w:numFmt w:val="bullet"/>
      <w:lvlText w:val="•"/>
      <w:lvlJc w:val="left"/>
      <w:pPr>
        <w:tabs>
          <w:tab w:val="num" w:pos="4680"/>
        </w:tabs>
        <w:ind w:left="4680" w:hanging="360"/>
      </w:pPr>
      <w:rPr>
        <w:rFonts w:hint="default" w:ascii="Arial" w:hAnsi="Arial"/>
      </w:rPr>
    </w:lvl>
    <w:lvl w:ilvl="7" w:tplc="FFFFFFFF" w:tentative="1">
      <w:start w:val="1"/>
      <w:numFmt w:val="bullet"/>
      <w:lvlText w:val="•"/>
      <w:lvlJc w:val="left"/>
      <w:pPr>
        <w:tabs>
          <w:tab w:val="num" w:pos="5400"/>
        </w:tabs>
        <w:ind w:left="5400" w:hanging="360"/>
      </w:pPr>
      <w:rPr>
        <w:rFonts w:hint="default" w:ascii="Arial" w:hAnsi="Arial"/>
      </w:rPr>
    </w:lvl>
    <w:lvl w:ilvl="8" w:tplc="FFFFFFFF" w:tentative="1">
      <w:start w:val="1"/>
      <w:numFmt w:val="bullet"/>
      <w:lvlText w:val="•"/>
      <w:lvlJc w:val="left"/>
      <w:pPr>
        <w:tabs>
          <w:tab w:val="num" w:pos="6120"/>
        </w:tabs>
        <w:ind w:left="6120" w:hanging="360"/>
      </w:pPr>
      <w:rPr>
        <w:rFonts w:hint="default" w:ascii="Arial" w:hAnsi="Arial"/>
      </w:rPr>
    </w:lvl>
  </w:abstractNum>
  <w:abstractNum w:abstractNumId="4" w15:restartNumberingAfterBreak="0">
    <w:nsid w:val="10930606"/>
    <w:multiLevelType w:val="hybridMultilevel"/>
    <w:tmpl w:val="CF2C5934"/>
    <w:lvl w:ilvl="0" w:tplc="08090005">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7BC4253"/>
    <w:multiLevelType w:val="multilevel"/>
    <w:tmpl w:val="71AEC3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AD45FAE"/>
    <w:multiLevelType w:val="multilevel"/>
    <w:tmpl w:val="CAAE058A"/>
    <w:lvl w:ilvl="0">
      <w:start w:val="1"/>
      <w:numFmt w:val="bullet"/>
      <w:lvlText w:val="▪"/>
      <w:lvlJc w:val="left"/>
      <w:pPr>
        <w:ind w:left="1080" w:hanging="360"/>
      </w:pPr>
      <w:rPr>
        <w:rFonts w:ascii="Noto Sans Symbols" w:hAnsi="Noto Sans Symbols" w:eastAsia="Noto Sans Symbols" w:cs="Noto Sans Symbols"/>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7" w15:restartNumberingAfterBreak="0">
    <w:nsid w:val="1BA95677"/>
    <w:multiLevelType w:val="hybridMultilevel"/>
    <w:tmpl w:val="0AE2C0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FE3D71"/>
    <w:multiLevelType w:val="hybridMultilevel"/>
    <w:tmpl w:val="B71E6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6F5FE5"/>
    <w:multiLevelType w:val="hybridMultilevel"/>
    <w:tmpl w:val="5040332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5393B19"/>
    <w:multiLevelType w:val="hybridMultilevel"/>
    <w:tmpl w:val="F5EE6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3F41AC"/>
    <w:multiLevelType w:val="hybridMultilevel"/>
    <w:tmpl w:val="7026D002"/>
    <w:lvl w:ilvl="0" w:tplc="08090005">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2" w15:restartNumberingAfterBreak="0">
    <w:nsid w:val="2E8150BB"/>
    <w:multiLevelType w:val="hybridMultilevel"/>
    <w:tmpl w:val="8E9EB592"/>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15F3FFA"/>
    <w:multiLevelType w:val="multilevel"/>
    <w:tmpl w:val="2EF00B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386B1C2D"/>
    <w:multiLevelType w:val="hybridMultilevel"/>
    <w:tmpl w:val="7006F282"/>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5" w15:restartNumberingAfterBreak="0">
    <w:nsid w:val="43D5795B"/>
    <w:multiLevelType w:val="hybridMultilevel"/>
    <w:tmpl w:val="E9667C18"/>
    <w:lvl w:ilvl="0" w:tplc="08090005">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C0052A0"/>
    <w:multiLevelType w:val="hybridMultilevel"/>
    <w:tmpl w:val="E5823DD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56960035"/>
    <w:multiLevelType w:val="hybridMultilevel"/>
    <w:tmpl w:val="415E39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6CA4508"/>
    <w:multiLevelType w:val="hybridMultilevel"/>
    <w:tmpl w:val="E0DE29A6"/>
    <w:lvl w:ilvl="0" w:tplc="08090005">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9334F5F"/>
    <w:multiLevelType w:val="multilevel"/>
    <w:tmpl w:val="8D9E6EB8"/>
    <w:lvl w:ilvl="0">
      <w:start w:val="1"/>
      <w:numFmt w:val="decimal"/>
      <w:lvlText w:val="%1."/>
      <w:lvlJc w:val="left"/>
      <w:pPr>
        <w:ind w:left="837" w:hanging="360"/>
      </w:pPr>
      <w:rPr>
        <w:rFonts w:ascii="Arial" w:hAnsi="Arial" w:eastAsia="Arial" w:cs="Arial"/>
        <w:sz w:val="22"/>
        <w:szCs w:val="22"/>
      </w:rPr>
    </w:lvl>
    <w:lvl w:ilvl="1">
      <w:start w:val="1"/>
      <w:numFmt w:val="decimal"/>
      <w:lvlText w:val="%2."/>
      <w:lvlJc w:val="left"/>
      <w:pPr>
        <w:ind w:left="1197" w:hanging="360"/>
      </w:pPr>
      <w:rPr>
        <w:rFonts w:ascii="Arial" w:hAnsi="Arial" w:eastAsia="Arial" w:cs="Arial"/>
        <w:sz w:val="22"/>
        <w:szCs w:val="22"/>
      </w:rPr>
    </w:lvl>
    <w:lvl w:ilvl="2">
      <w:numFmt w:val="bullet"/>
      <w:lvlText w:val="•"/>
      <w:lvlJc w:val="left"/>
      <w:pPr>
        <w:ind w:left="1340" w:hanging="360"/>
      </w:pPr>
    </w:lvl>
    <w:lvl w:ilvl="3">
      <w:numFmt w:val="bullet"/>
      <w:lvlText w:val="•"/>
      <w:lvlJc w:val="left"/>
      <w:pPr>
        <w:ind w:left="2367" w:hanging="360"/>
      </w:pPr>
    </w:lvl>
    <w:lvl w:ilvl="4">
      <w:numFmt w:val="bullet"/>
      <w:lvlText w:val="•"/>
      <w:lvlJc w:val="left"/>
      <w:pPr>
        <w:ind w:left="3394" w:hanging="360"/>
      </w:pPr>
    </w:lvl>
    <w:lvl w:ilvl="5">
      <w:numFmt w:val="bullet"/>
      <w:lvlText w:val="•"/>
      <w:lvlJc w:val="left"/>
      <w:pPr>
        <w:ind w:left="4422" w:hanging="360"/>
      </w:pPr>
    </w:lvl>
    <w:lvl w:ilvl="6">
      <w:numFmt w:val="bullet"/>
      <w:lvlText w:val="•"/>
      <w:lvlJc w:val="left"/>
      <w:pPr>
        <w:ind w:left="5449" w:hanging="360"/>
      </w:pPr>
    </w:lvl>
    <w:lvl w:ilvl="7">
      <w:numFmt w:val="bullet"/>
      <w:lvlText w:val="•"/>
      <w:lvlJc w:val="left"/>
      <w:pPr>
        <w:ind w:left="6477" w:hanging="360"/>
      </w:pPr>
    </w:lvl>
    <w:lvl w:ilvl="8">
      <w:numFmt w:val="bullet"/>
      <w:lvlText w:val="•"/>
      <w:lvlJc w:val="left"/>
      <w:pPr>
        <w:ind w:left="7504" w:hanging="360"/>
      </w:pPr>
    </w:lvl>
  </w:abstractNum>
  <w:abstractNum w:abstractNumId="20" w15:restartNumberingAfterBreak="0">
    <w:nsid w:val="5C8116DB"/>
    <w:multiLevelType w:val="hybridMultilevel"/>
    <w:tmpl w:val="0CBAB0A2"/>
    <w:lvl w:ilvl="0" w:tplc="E996DCD4">
      <w:start w:val="1"/>
      <w:numFmt w:val="bullet"/>
      <w:lvlText w:val="•"/>
      <w:lvlJc w:val="left"/>
      <w:pPr>
        <w:tabs>
          <w:tab w:val="num" w:pos="720"/>
        </w:tabs>
        <w:ind w:left="720" w:hanging="360"/>
      </w:pPr>
      <w:rPr>
        <w:rFonts w:hint="default" w:ascii="Arial" w:hAnsi="Arial"/>
      </w:rPr>
    </w:lvl>
    <w:lvl w:ilvl="1" w:tplc="3EC0DB0E">
      <w:start w:val="1"/>
      <w:numFmt w:val="bullet"/>
      <w:lvlText w:val="•"/>
      <w:lvlJc w:val="left"/>
      <w:pPr>
        <w:tabs>
          <w:tab w:val="num" w:pos="1440"/>
        </w:tabs>
        <w:ind w:left="1440" w:hanging="360"/>
      </w:pPr>
      <w:rPr>
        <w:rFonts w:hint="default" w:ascii="Arial" w:hAnsi="Arial"/>
      </w:rPr>
    </w:lvl>
    <w:lvl w:ilvl="2" w:tplc="33E0899A" w:tentative="1">
      <w:start w:val="1"/>
      <w:numFmt w:val="bullet"/>
      <w:lvlText w:val="•"/>
      <w:lvlJc w:val="left"/>
      <w:pPr>
        <w:tabs>
          <w:tab w:val="num" w:pos="2160"/>
        </w:tabs>
        <w:ind w:left="2160" w:hanging="360"/>
      </w:pPr>
      <w:rPr>
        <w:rFonts w:hint="default" w:ascii="Arial" w:hAnsi="Arial"/>
      </w:rPr>
    </w:lvl>
    <w:lvl w:ilvl="3" w:tplc="441C6FA0" w:tentative="1">
      <w:start w:val="1"/>
      <w:numFmt w:val="bullet"/>
      <w:lvlText w:val="•"/>
      <w:lvlJc w:val="left"/>
      <w:pPr>
        <w:tabs>
          <w:tab w:val="num" w:pos="2880"/>
        </w:tabs>
        <w:ind w:left="2880" w:hanging="360"/>
      </w:pPr>
      <w:rPr>
        <w:rFonts w:hint="default" w:ascii="Arial" w:hAnsi="Arial"/>
      </w:rPr>
    </w:lvl>
    <w:lvl w:ilvl="4" w:tplc="EED287FE" w:tentative="1">
      <w:start w:val="1"/>
      <w:numFmt w:val="bullet"/>
      <w:lvlText w:val="•"/>
      <w:lvlJc w:val="left"/>
      <w:pPr>
        <w:tabs>
          <w:tab w:val="num" w:pos="3600"/>
        </w:tabs>
        <w:ind w:left="3600" w:hanging="360"/>
      </w:pPr>
      <w:rPr>
        <w:rFonts w:hint="default" w:ascii="Arial" w:hAnsi="Arial"/>
      </w:rPr>
    </w:lvl>
    <w:lvl w:ilvl="5" w:tplc="B826134A" w:tentative="1">
      <w:start w:val="1"/>
      <w:numFmt w:val="bullet"/>
      <w:lvlText w:val="•"/>
      <w:lvlJc w:val="left"/>
      <w:pPr>
        <w:tabs>
          <w:tab w:val="num" w:pos="4320"/>
        </w:tabs>
        <w:ind w:left="4320" w:hanging="360"/>
      </w:pPr>
      <w:rPr>
        <w:rFonts w:hint="default" w:ascii="Arial" w:hAnsi="Arial"/>
      </w:rPr>
    </w:lvl>
    <w:lvl w:ilvl="6" w:tplc="48988362" w:tentative="1">
      <w:start w:val="1"/>
      <w:numFmt w:val="bullet"/>
      <w:lvlText w:val="•"/>
      <w:lvlJc w:val="left"/>
      <w:pPr>
        <w:tabs>
          <w:tab w:val="num" w:pos="5040"/>
        </w:tabs>
        <w:ind w:left="5040" w:hanging="360"/>
      </w:pPr>
      <w:rPr>
        <w:rFonts w:hint="default" w:ascii="Arial" w:hAnsi="Arial"/>
      </w:rPr>
    </w:lvl>
    <w:lvl w:ilvl="7" w:tplc="CEE0F622" w:tentative="1">
      <w:start w:val="1"/>
      <w:numFmt w:val="bullet"/>
      <w:lvlText w:val="•"/>
      <w:lvlJc w:val="left"/>
      <w:pPr>
        <w:tabs>
          <w:tab w:val="num" w:pos="5760"/>
        </w:tabs>
        <w:ind w:left="5760" w:hanging="360"/>
      </w:pPr>
      <w:rPr>
        <w:rFonts w:hint="default" w:ascii="Arial" w:hAnsi="Arial"/>
      </w:rPr>
    </w:lvl>
    <w:lvl w:ilvl="8" w:tplc="00D2C130" w:tentative="1">
      <w:start w:val="1"/>
      <w:numFmt w:val="bullet"/>
      <w:lvlText w:val="•"/>
      <w:lvlJc w:val="left"/>
      <w:pPr>
        <w:tabs>
          <w:tab w:val="num" w:pos="6480"/>
        </w:tabs>
        <w:ind w:left="6480" w:hanging="360"/>
      </w:pPr>
      <w:rPr>
        <w:rFonts w:hint="default" w:ascii="Arial" w:hAnsi="Arial"/>
      </w:rPr>
    </w:lvl>
  </w:abstractNum>
  <w:abstractNum w:abstractNumId="21" w15:restartNumberingAfterBreak="0">
    <w:nsid w:val="5EC3257E"/>
    <w:multiLevelType w:val="hybridMultilevel"/>
    <w:tmpl w:val="08D888F4"/>
    <w:lvl w:ilvl="0" w:tplc="08090005">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01B37E3"/>
    <w:multiLevelType w:val="hybridMultilevel"/>
    <w:tmpl w:val="880A7634"/>
    <w:lvl w:ilvl="0" w:tplc="08090005">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2B45538"/>
    <w:multiLevelType w:val="multilevel"/>
    <w:tmpl w:val="1B1C4A7E"/>
    <w:lvl w:ilvl="0">
      <w:numFmt w:val="bullet"/>
      <w:lvlText w:val="●"/>
      <w:lvlJc w:val="left"/>
      <w:pPr>
        <w:ind w:left="477" w:hanging="360"/>
      </w:pPr>
      <w:rPr>
        <w:rFonts w:ascii="Noto Sans Symbols" w:hAnsi="Noto Sans Symbols" w:eastAsia="Noto Sans Symbols" w:cs="Noto Sans Symbols"/>
        <w:sz w:val="22"/>
        <w:szCs w:val="22"/>
      </w:rPr>
    </w:lvl>
    <w:lvl w:ilvl="1">
      <w:numFmt w:val="bullet"/>
      <w:lvlText w:val="•"/>
      <w:lvlJc w:val="left"/>
      <w:pPr>
        <w:ind w:left="1387" w:hanging="360"/>
      </w:pPr>
    </w:lvl>
    <w:lvl w:ilvl="2">
      <w:numFmt w:val="bullet"/>
      <w:lvlText w:val="•"/>
      <w:lvlJc w:val="left"/>
      <w:pPr>
        <w:ind w:left="2295" w:hanging="360"/>
      </w:pPr>
    </w:lvl>
    <w:lvl w:ilvl="3">
      <w:numFmt w:val="bullet"/>
      <w:lvlText w:val="•"/>
      <w:lvlJc w:val="left"/>
      <w:pPr>
        <w:ind w:left="3203" w:hanging="360"/>
      </w:pPr>
    </w:lvl>
    <w:lvl w:ilvl="4">
      <w:numFmt w:val="bullet"/>
      <w:lvlText w:val="•"/>
      <w:lvlJc w:val="left"/>
      <w:pPr>
        <w:ind w:left="4111" w:hanging="360"/>
      </w:pPr>
    </w:lvl>
    <w:lvl w:ilvl="5">
      <w:numFmt w:val="bullet"/>
      <w:lvlText w:val="•"/>
      <w:lvlJc w:val="left"/>
      <w:pPr>
        <w:ind w:left="5019" w:hanging="360"/>
      </w:pPr>
    </w:lvl>
    <w:lvl w:ilvl="6">
      <w:numFmt w:val="bullet"/>
      <w:lvlText w:val="•"/>
      <w:lvlJc w:val="left"/>
      <w:pPr>
        <w:ind w:left="5927" w:hanging="360"/>
      </w:pPr>
    </w:lvl>
    <w:lvl w:ilvl="7">
      <w:numFmt w:val="bullet"/>
      <w:lvlText w:val="•"/>
      <w:lvlJc w:val="left"/>
      <w:pPr>
        <w:ind w:left="6835" w:hanging="360"/>
      </w:pPr>
    </w:lvl>
    <w:lvl w:ilvl="8">
      <w:numFmt w:val="bullet"/>
      <w:lvlText w:val="•"/>
      <w:lvlJc w:val="left"/>
      <w:pPr>
        <w:ind w:left="7743" w:hanging="360"/>
      </w:pPr>
    </w:lvl>
  </w:abstractNum>
  <w:abstractNum w:abstractNumId="24" w15:restartNumberingAfterBreak="0">
    <w:nsid w:val="63C42827"/>
    <w:multiLevelType w:val="multilevel"/>
    <w:tmpl w:val="5552A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5E54967"/>
    <w:multiLevelType w:val="multilevel"/>
    <w:tmpl w:val="947CEC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B101D3B"/>
    <w:multiLevelType w:val="multilevel"/>
    <w:tmpl w:val="108656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741D4179"/>
    <w:multiLevelType w:val="hybridMultilevel"/>
    <w:tmpl w:val="0AE2C0D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082071579">
    <w:abstractNumId w:val="11"/>
  </w:num>
  <w:num w:numId="2" w16cid:durableId="801068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6753688">
    <w:abstractNumId w:val="0"/>
  </w:num>
  <w:num w:numId="4" w16cid:durableId="1737779777">
    <w:abstractNumId w:val="0"/>
  </w:num>
  <w:num w:numId="5" w16cid:durableId="1011227623">
    <w:abstractNumId w:val="16"/>
  </w:num>
  <w:num w:numId="6" w16cid:durableId="1163084873">
    <w:abstractNumId w:val="12"/>
  </w:num>
  <w:num w:numId="7" w16cid:durableId="74668712">
    <w:abstractNumId w:val="8"/>
  </w:num>
  <w:num w:numId="8" w16cid:durableId="1383285119">
    <w:abstractNumId w:val="10"/>
  </w:num>
  <w:num w:numId="9" w16cid:durableId="1927379613">
    <w:abstractNumId w:val="23"/>
  </w:num>
  <w:num w:numId="10" w16cid:durableId="692262883">
    <w:abstractNumId w:val="5"/>
  </w:num>
  <w:num w:numId="11" w16cid:durableId="105925115">
    <w:abstractNumId w:val="25"/>
  </w:num>
  <w:num w:numId="12" w16cid:durableId="2138376457">
    <w:abstractNumId w:val="6"/>
  </w:num>
  <w:num w:numId="13" w16cid:durableId="396052272">
    <w:abstractNumId w:val="24"/>
  </w:num>
  <w:num w:numId="14" w16cid:durableId="1884900534">
    <w:abstractNumId w:val="19"/>
  </w:num>
  <w:num w:numId="15" w16cid:durableId="1974826338">
    <w:abstractNumId w:val="1"/>
  </w:num>
  <w:num w:numId="16" w16cid:durableId="2105563606">
    <w:abstractNumId w:val="20"/>
  </w:num>
  <w:num w:numId="17" w16cid:durableId="759254343">
    <w:abstractNumId w:val="3"/>
  </w:num>
  <w:num w:numId="18" w16cid:durableId="35127622">
    <w:abstractNumId w:val="7"/>
  </w:num>
  <w:num w:numId="19" w16cid:durableId="1874725569">
    <w:abstractNumId w:val="9"/>
  </w:num>
  <w:num w:numId="20" w16cid:durableId="73166416">
    <w:abstractNumId w:val="22"/>
  </w:num>
  <w:num w:numId="21" w16cid:durableId="1263732223">
    <w:abstractNumId w:val="4"/>
  </w:num>
  <w:num w:numId="22" w16cid:durableId="1277374425">
    <w:abstractNumId w:val="14"/>
  </w:num>
  <w:num w:numId="23" w16cid:durableId="882905634">
    <w:abstractNumId w:val="2"/>
  </w:num>
  <w:num w:numId="24" w16cid:durableId="2067102459">
    <w:abstractNumId w:val="18"/>
  </w:num>
  <w:num w:numId="25" w16cid:durableId="1161893048">
    <w:abstractNumId w:val="15"/>
  </w:num>
  <w:num w:numId="26" w16cid:durableId="1185172853">
    <w:abstractNumId w:val="21"/>
  </w:num>
  <w:num w:numId="27" w16cid:durableId="1474323893">
    <w:abstractNumId w:val="27"/>
  </w:num>
  <w:num w:numId="28" w16cid:durableId="1763181953">
    <w:abstractNumId w:val="17"/>
  </w:num>
  <w:num w:numId="29" w16cid:durableId="1668827945">
    <w:abstractNumId w:val="26"/>
  </w:num>
  <w:num w:numId="30" w16cid:durableId="634334873">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6E0"/>
    <w:rsid w:val="00004CA4"/>
    <w:rsid w:val="00050468"/>
    <w:rsid w:val="0008733B"/>
    <w:rsid w:val="00094138"/>
    <w:rsid w:val="000C4D93"/>
    <w:rsid w:val="000E5211"/>
    <w:rsid w:val="000F10CF"/>
    <w:rsid w:val="001204E6"/>
    <w:rsid w:val="00144383"/>
    <w:rsid w:val="00147653"/>
    <w:rsid w:val="001604B1"/>
    <w:rsid w:val="00173D84"/>
    <w:rsid w:val="00195E4D"/>
    <w:rsid w:val="001A2721"/>
    <w:rsid w:val="001D2A8D"/>
    <w:rsid w:val="001F7C83"/>
    <w:rsid w:val="00202EEE"/>
    <w:rsid w:val="00203085"/>
    <w:rsid w:val="0023008F"/>
    <w:rsid w:val="00263A7A"/>
    <w:rsid w:val="00271412"/>
    <w:rsid w:val="002B2A99"/>
    <w:rsid w:val="002C2AD1"/>
    <w:rsid w:val="002D0D73"/>
    <w:rsid w:val="002F0D61"/>
    <w:rsid w:val="002F2C48"/>
    <w:rsid w:val="002F4F0E"/>
    <w:rsid w:val="00314E88"/>
    <w:rsid w:val="00322852"/>
    <w:rsid w:val="003426C3"/>
    <w:rsid w:val="00353B24"/>
    <w:rsid w:val="00362FE7"/>
    <w:rsid w:val="003651EB"/>
    <w:rsid w:val="00380746"/>
    <w:rsid w:val="00390934"/>
    <w:rsid w:val="00392EC9"/>
    <w:rsid w:val="003C22A2"/>
    <w:rsid w:val="003C5222"/>
    <w:rsid w:val="003C6E8F"/>
    <w:rsid w:val="003C71CB"/>
    <w:rsid w:val="003C79D2"/>
    <w:rsid w:val="003F4E78"/>
    <w:rsid w:val="004155D4"/>
    <w:rsid w:val="004166AE"/>
    <w:rsid w:val="00432C88"/>
    <w:rsid w:val="0044252D"/>
    <w:rsid w:val="00472AF6"/>
    <w:rsid w:val="00472F85"/>
    <w:rsid w:val="00495BB7"/>
    <w:rsid w:val="004A1927"/>
    <w:rsid w:val="004D544F"/>
    <w:rsid w:val="004D59C9"/>
    <w:rsid w:val="005061E7"/>
    <w:rsid w:val="005327AA"/>
    <w:rsid w:val="00537495"/>
    <w:rsid w:val="00563157"/>
    <w:rsid w:val="00570C38"/>
    <w:rsid w:val="00590379"/>
    <w:rsid w:val="005959A2"/>
    <w:rsid w:val="005960CA"/>
    <w:rsid w:val="0059679D"/>
    <w:rsid w:val="005A2950"/>
    <w:rsid w:val="005A53F4"/>
    <w:rsid w:val="005A60BE"/>
    <w:rsid w:val="005D0BA9"/>
    <w:rsid w:val="005D5225"/>
    <w:rsid w:val="00606303"/>
    <w:rsid w:val="0062193E"/>
    <w:rsid w:val="0062465E"/>
    <w:rsid w:val="00637E2E"/>
    <w:rsid w:val="00655623"/>
    <w:rsid w:val="00662610"/>
    <w:rsid w:val="00665021"/>
    <w:rsid w:val="0067128C"/>
    <w:rsid w:val="006B085E"/>
    <w:rsid w:val="006B5244"/>
    <w:rsid w:val="006C7C3C"/>
    <w:rsid w:val="006E2FBC"/>
    <w:rsid w:val="00705873"/>
    <w:rsid w:val="00724007"/>
    <w:rsid w:val="00725BB1"/>
    <w:rsid w:val="00737745"/>
    <w:rsid w:val="00743956"/>
    <w:rsid w:val="00744244"/>
    <w:rsid w:val="00777596"/>
    <w:rsid w:val="00780212"/>
    <w:rsid w:val="007836E4"/>
    <w:rsid w:val="00793C0F"/>
    <w:rsid w:val="007A3E34"/>
    <w:rsid w:val="007A52A3"/>
    <w:rsid w:val="007E7872"/>
    <w:rsid w:val="00816C5E"/>
    <w:rsid w:val="00833C60"/>
    <w:rsid w:val="00841BF6"/>
    <w:rsid w:val="00862F8D"/>
    <w:rsid w:val="0087000A"/>
    <w:rsid w:val="00871658"/>
    <w:rsid w:val="008874EC"/>
    <w:rsid w:val="008A0839"/>
    <w:rsid w:val="008B114A"/>
    <w:rsid w:val="008C2159"/>
    <w:rsid w:val="008E6618"/>
    <w:rsid w:val="008F16C2"/>
    <w:rsid w:val="0091355B"/>
    <w:rsid w:val="009236CD"/>
    <w:rsid w:val="009465EC"/>
    <w:rsid w:val="00951787"/>
    <w:rsid w:val="00984E91"/>
    <w:rsid w:val="00990B8D"/>
    <w:rsid w:val="00997483"/>
    <w:rsid w:val="009B036B"/>
    <w:rsid w:val="009B36D0"/>
    <w:rsid w:val="009D07BE"/>
    <w:rsid w:val="009D7BD7"/>
    <w:rsid w:val="009E0071"/>
    <w:rsid w:val="009F5312"/>
    <w:rsid w:val="00A116E0"/>
    <w:rsid w:val="00A25630"/>
    <w:rsid w:val="00A80B4D"/>
    <w:rsid w:val="00A93D90"/>
    <w:rsid w:val="00A95D7D"/>
    <w:rsid w:val="00AA0C71"/>
    <w:rsid w:val="00AD46FD"/>
    <w:rsid w:val="00B45431"/>
    <w:rsid w:val="00B52428"/>
    <w:rsid w:val="00BE138C"/>
    <w:rsid w:val="00C11A0A"/>
    <w:rsid w:val="00C35575"/>
    <w:rsid w:val="00C65D46"/>
    <w:rsid w:val="00C819CD"/>
    <w:rsid w:val="00CA3A7E"/>
    <w:rsid w:val="00CD5255"/>
    <w:rsid w:val="00CE43F1"/>
    <w:rsid w:val="00CF3819"/>
    <w:rsid w:val="00CF4AEB"/>
    <w:rsid w:val="00CF4AEF"/>
    <w:rsid w:val="00D058F5"/>
    <w:rsid w:val="00D30A1A"/>
    <w:rsid w:val="00D31ABE"/>
    <w:rsid w:val="00D52AC9"/>
    <w:rsid w:val="00D66F6F"/>
    <w:rsid w:val="00D67C22"/>
    <w:rsid w:val="00D72CE2"/>
    <w:rsid w:val="00D757C1"/>
    <w:rsid w:val="00D829C9"/>
    <w:rsid w:val="00D856EF"/>
    <w:rsid w:val="00D9556B"/>
    <w:rsid w:val="00DA21BE"/>
    <w:rsid w:val="00DC6A5E"/>
    <w:rsid w:val="00DE7EA4"/>
    <w:rsid w:val="00E02272"/>
    <w:rsid w:val="00E05C22"/>
    <w:rsid w:val="00E60E21"/>
    <w:rsid w:val="00E61F8D"/>
    <w:rsid w:val="00E74A5E"/>
    <w:rsid w:val="00E8762D"/>
    <w:rsid w:val="00EA3AAC"/>
    <w:rsid w:val="00EF72C9"/>
    <w:rsid w:val="00F22DF0"/>
    <w:rsid w:val="00F40837"/>
    <w:rsid w:val="00F67B4C"/>
    <w:rsid w:val="00F90B73"/>
    <w:rsid w:val="00F9174B"/>
    <w:rsid w:val="00FB2887"/>
    <w:rsid w:val="00FB556D"/>
    <w:rsid w:val="00FB601E"/>
    <w:rsid w:val="00FB72A2"/>
    <w:rsid w:val="00FC122A"/>
    <w:rsid w:val="00FD44A6"/>
    <w:rsid w:val="00FE0186"/>
    <w:rsid w:val="00FE4593"/>
    <w:rsid w:val="2C983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03007"/>
  <w15:chartTrackingRefBased/>
  <w15:docId w15:val="{C735A15E-13FF-43F0-8984-11BA491637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A2950"/>
    <w:pPr>
      <w:widowControl w:val="0"/>
      <w:spacing w:after="0" w:line="240" w:lineRule="auto"/>
    </w:pPr>
    <w:rPr>
      <w:rFonts w:ascii="Arial" w:hAnsi="Arial" w:eastAsia="Arial" w:cs="Arial"/>
      <w:lang w:val="en-US" w:eastAsia="en-GB"/>
    </w:rPr>
  </w:style>
  <w:style w:type="paragraph" w:styleId="Heading1">
    <w:name w:val="heading 1"/>
    <w:basedOn w:val="Normal"/>
    <w:next w:val="Normal"/>
    <w:link w:val="Heading1Char"/>
    <w:uiPriority w:val="9"/>
    <w:qFormat/>
    <w:rsid w:val="00D058F5"/>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7836E4"/>
    <w:pPr>
      <w:keepNext/>
      <w:keepLines/>
      <w:spacing w:before="4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3C79D2"/>
    <w:pPr>
      <w:keepNext/>
      <w:keepLines/>
      <w:spacing w:before="40"/>
      <w:outlineLvl w:val="2"/>
    </w:pPr>
    <w:rPr>
      <w:rFonts w:eastAsiaTheme="majorEastAsia" w:cstheme="majorBidi"/>
      <w:b/>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058F5"/>
    <w:rPr>
      <w:rFonts w:ascii="Arial" w:hAnsi="Arial" w:eastAsiaTheme="majorEastAsia" w:cstheme="majorBidi"/>
      <w:b/>
      <w:color w:val="000000" w:themeColor="text1"/>
      <w:sz w:val="32"/>
      <w:szCs w:val="32"/>
    </w:rPr>
  </w:style>
  <w:style w:type="character" w:styleId="Heading2Char" w:customStyle="1">
    <w:name w:val="Heading 2 Char"/>
    <w:basedOn w:val="DefaultParagraphFont"/>
    <w:link w:val="Heading2"/>
    <w:uiPriority w:val="9"/>
    <w:rsid w:val="007836E4"/>
    <w:rPr>
      <w:rFonts w:ascii="Arial" w:hAnsi="Arial" w:eastAsiaTheme="majorEastAsia" w:cstheme="majorBidi"/>
      <w:b/>
      <w:color w:val="000000" w:themeColor="text1"/>
      <w:sz w:val="26"/>
      <w:szCs w:val="26"/>
    </w:rPr>
  </w:style>
  <w:style w:type="character" w:styleId="Heading3Char" w:customStyle="1">
    <w:name w:val="Heading 3 Char"/>
    <w:basedOn w:val="DefaultParagraphFont"/>
    <w:link w:val="Heading3"/>
    <w:uiPriority w:val="9"/>
    <w:rsid w:val="003C79D2"/>
    <w:rPr>
      <w:rFonts w:ascii="Arial" w:hAnsi="Arial" w:eastAsiaTheme="majorEastAsia" w:cstheme="majorBidi"/>
      <w:b/>
      <w:szCs w:val="24"/>
      <w:lang w:val="en-US" w:eastAsia="en-GB"/>
    </w:rPr>
  </w:style>
  <w:style w:type="character" w:styleId="Hyperlink">
    <w:name w:val="Hyperlink"/>
    <w:basedOn w:val="DefaultParagraphFont"/>
    <w:uiPriority w:val="99"/>
    <w:unhideWhenUsed/>
    <w:rsid w:val="00A116E0"/>
    <w:rPr>
      <w:color w:val="0563C1" w:themeColor="hyperlink"/>
      <w:u w:val="single"/>
    </w:rPr>
  </w:style>
  <w:style w:type="paragraph" w:styleId="ListParagraph">
    <w:name w:val="List Paragraph"/>
    <w:basedOn w:val="Normal"/>
    <w:uiPriority w:val="34"/>
    <w:qFormat/>
    <w:rsid w:val="00FB72A2"/>
    <w:pPr>
      <w:ind w:left="720"/>
    </w:pPr>
    <w:rPr>
      <w:rFonts w:cs="Calibri"/>
    </w:rPr>
  </w:style>
  <w:style w:type="paragraph" w:styleId="Header">
    <w:name w:val="header"/>
    <w:basedOn w:val="Normal"/>
    <w:link w:val="HeaderChar"/>
    <w:uiPriority w:val="99"/>
    <w:unhideWhenUsed/>
    <w:rsid w:val="00590379"/>
    <w:pPr>
      <w:tabs>
        <w:tab w:val="center" w:pos="4513"/>
        <w:tab w:val="right" w:pos="9026"/>
      </w:tabs>
    </w:pPr>
  </w:style>
  <w:style w:type="character" w:styleId="HeaderChar" w:customStyle="1">
    <w:name w:val="Header Char"/>
    <w:basedOn w:val="DefaultParagraphFont"/>
    <w:link w:val="Header"/>
    <w:uiPriority w:val="99"/>
    <w:rsid w:val="00590379"/>
    <w:rPr>
      <w:rFonts w:ascii="Arial" w:hAnsi="Arial"/>
    </w:rPr>
  </w:style>
  <w:style w:type="paragraph" w:styleId="Footer">
    <w:name w:val="footer"/>
    <w:basedOn w:val="Normal"/>
    <w:link w:val="FooterChar"/>
    <w:uiPriority w:val="99"/>
    <w:unhideWhenUsed/>
    <w:rsid w:val="00590379"/>
    <w:pPr>
      <w:tabs>
        <w:tab w:val="center" w:pos="4513"/>
        <w:tab w:val="right" w:pos="9026"/>
      </w:tabs>
    </w:pPr>
  </w:style>
  <w:style w:type="character" w:styleId="FooterChar" w:customStyle="1">
    <w:name w:val="Footer Char"/>
    <w:basedOn w:val="DefaultParagraphFont"/>
    <w:link w:val="Footer"/>
    <w:uiPriority w:val="99"/>
    <w:rsid w:val="00590379"/>
    <w:rPr>
      <w:rFonts w:ascii="Arial" w:hAnsi="Arial"/>
    </w:rPr>
  </w:style>
  <w:style w:type="paragraph" w:styleId="Title">
    <w:name w:val="Title"/>
    <w:basedOn w:val="Normal"/>
    <w:next w:val="Normal"/>
    <w:link w:val="TitleChar"/>
    <w:uiPriority w:val="10"/>
    <w:qFormat/>
    <w:rsid w:val="005A2950"/>
    <w:pPr>
      <w:spacing w:before="91"/>
      <w:ind w:left="117" w:right="4003"/>
    </w:pPr>
    <w:rPr>
      <w:sz w:val="30"/>
      <w:szCs w:val="30"/>
    </w:rPr>
  </w:style>
  <w:style w:type="character" w:styleId="TitleChar" w:customStyle="1">
    <w:name w:val="Title Char"/>
    <w:basedOn w:val="DefaultParagraphFont"/>
    <w:link w:val="Title"/>
    <w:uiPriority w:val="10"/>
    <w:rsid w:val="005A2950"/>
    <w:rPr>
      <w:rFonts w:ascii="Arial" w:hAnsi="Arial" w:eastAsia="Arial" w:cs="Arial"/>
      <w:sz w:val="30"/>
      <w:szCs w:val="30"/>
      <w:lang w:val="en-US" w:eastAsia="en-GB"/>
    </w:rPr>
  </w:style>
  <w:style w:type="paragraph" w:styleId="Revision">
    <w:name w:val="Revision"/>
    <w:hidden/>
    <w:uiPriority w:val="99"/>
    <w:semiHidden/>
    <w:rsid w:val="00E05C22"/>
    <w:pPr>
      <w:spacing w:after="0" w:line="240" w:lineRule="auto"/>
    </w:pPr>
    <w:rPr>
      <w:rFonts w:ascii="Arial" w:hAnsi="Arial" w:eastAsia="Arial" w:cs="Arial"/>
      <w:lang w:val="en-US" w:eastAsia="en-GB"/>
    </w:rPr>
  </w:style>
  <w:style w:type="character" w:styleId="CommentReference">
    <w:name w:val="annotation reference"/>
    <w:basedOn w:val="DefaultParagraphFont"/>
    <w:uiPriority w:val="99"/>
    <w:semiHidden/>
    <w:unhideWhenUsed/>
    <w:rsid w:val="00AD46FD"/>
    <w:rPr>
      <w:sz w:val="16"/>
      <w:szCs w:val="16"/>
    </w:rPr>
  </w:style>
  <w:style w:type="paragraph" w:styleId="CommentText">
    <w:name w:val="annotation text"/>
    <w:basedOn w:val="Normal"/>
    <w:link w:val="CommentTextChar"/>
    <w:uiPriority w:val="99"/>
    <w:unhideWhenUsed/>
    <w:rsid w:val="00AD46FD"/>
    <w:rPr>
      <w:sz w:val="20"/>
      <w:szCs w:val="20"/>
    </w:rPr>
  </w:style>
  <w:style w:type="character" w:styleId="CommentTextChar" w:customStyle="1">
    <w:name w:val="Comment Text Char"/>
    <w:basedOn w:val="DefaultParagraphFont"/>
    <w:link w:val="CommentText"/>
    <w:uiPriority w:val="99"/>
    <w:rsid w:val="00AD46FD"/>
    <w:rPr>
      <w:rFonts w:ascii="Arial" w:hAnsi="Arial" w:eastAsia="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AD46FD"/>
    <w:rPr>
      <w:b/>
      <w:bCs/>
    </w:rPr>
  </w:style>
  <w:style w:type="character" w:styleId="CommentSubjectChar" w:customStyle="1">
    <w:name w:val="Comment Subject Char"/>
    <w:basedOn w:val="CommentTextChar"/>
    <w:link w:val="CommentSubject"/>
    <w:uiPriority w:val="99"/>
    <w:semiHidden/>
    <w:rsid w:val="00AD46FD"/>
    <w:rPr>
      <w:rFonts w:ascii="Arial" w:hAnsi="Arial" w:eastAsia="Arial" w:cs="Arial"/>
      <w:b/>
      <w:bCs/>
      <w:sz w:val="20"/>
      <w:szCs w:val="20"/>
      <w:lang w:val="en-US" w:eastAsia="en-GB"/>
    </w:rPr>
  </w:style>
  <w:style w:type="character" w:styleId="UnresolvedMention">
    <w:name w:val="Unresolved Mention"/>
    <w:basedOn w:val="DefaultParagraphFont"/>
    <w:uiPriority w:val="99"/>
    <w:semiHidden/>
    <w:unhideWhenUsed/>
    <w:rsid w:val="00FB5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16480">
      <w:bodyDiv w:val="1"/>
      <w:marLeft w:val="0"/>
      <w:marRight w:val="0"/>
      <w:marTop w:val="0"/>
      <w:marBottom w:val="0"/>
      <w:divBdr>
        <w:top w:val="none" w:sz="0" w:space="0" w:color="auto"/>
        <w:left w:val="none" w:sz="0" w:space="0" w:color="auto"/>
        <w:bottom w:val="none" w:sz="0" w:space="0" w:color="auto"/>
        <w:right w:val="none" w:sz="0" w:space="0" w:color="auto"/>
      </w:divBdr>
      <w:divsChild>
        <w:div w:id="1442139696">
          <w:marLeft w:val="1080"/>
          <w:marRight w:val="0"/>
          <w:marTop w:val="100"/>
          <w:marBottom w:val="0"/>
          <w:divBdr>
            <w:top w:val="none" w:sz="0" w:space="0" w:color="auto"/>
            <w:left w:val="none" w:sz="0" w:space="0" w:color="auto"/>
            <w:bottom w:val="none" w:sz="0" w:space="0" w:color="auto"/>
            <w:right w:val="none" w:sz="0" w:space="0" w:color="auto"/>
          </w:divBdr>
        </w:div>
        <w:div w:id="560487540">
          <w:marLeft w:val="1080"/>
          <w:marRight w:val="0"/>
          <w:marTop w:val="100"/>
          <w:marBottom w:val="0"/>
          <w:divBdr>
            <w:top w:val="none" w:sz="0" w:space="0" w:color="auto"/>
            <w:left w:val="none" w:sz="0" w:space="0" w:color="auto"/>
            <w:bottom w:val="none" w:sz="0" w:space="0" w:color="auto"/>
            <w:right w:val="none" w:sz="0" w:space="0" w:color="auto"/>
          </w:divBdr>
        </w:div>
        <w:div w:id="18623789">
          <w:marLeft w:val="1080"/>
          <w:marRight w:val="0"/>
          <w:marTop w:val="100"/>
          <w:marBottom w:val="0"/>
          <w:divBdr>
            <w:top w:val="none" w:sz="0" w:space="0" w:color="auto"/>
            <w:left w:val="none" w:sz="0" w:space="0" w:color="auto"/>
            <w:bottom w:val="none" w:sz="0" w:space="0" w:color="auto"/>
            <w:right w:val="none" w:sz="0" w:space="0" w:color="auto"/>
          </w:divBdr>
        </w:div>
        <w:div w:id="154611772">
          <w:marLeft w:val="1080"/>
          <w:marRight w:val="0"/>
          <w:marTop w:val="100"/>
          <w:marBottom w:val="0"/>
          <w:divBdr>
            <w:top w:val="none" w:sz="0" w:space="0" w:color="auto"/>
            <w:left w:val="none" w:sz="0" w:space="0" w:color="auto"/>
            <w:bottom w:val="none" w:sz="0" w:space="0" w:color="auto"/>
            <w:right w:val="none" w:sz="0" w:space="0" w:color="auto"/>
          </w:divBdr>
        </w:div>
      </w:divsChild>
    </w:div>
    <w:div w:id="479612495">
      <w:bodyDiv w:val="1"/>
      <w:marLeft w:val="0"/>
      <w:marRight w:val="0"/>
      <w:marTop w:val="0"/>
      <w:marBottom w:val="0"/>
      <w:divBdr>
        <w:top w:val="none" w:sz="0" w:space="0" w:color="auto"/>
        <w:left w:val="none" w:sz="0" w:space="0" w:color="auto"/>
        <w:bottom w:val="none" w:sz="0" w:space="0" w:color="auto"/>
        <w:right w:val="none" w:sz="0" w:space="0" w:color="auto"/>
      </w:divBdr>
    </w:div>
    <w:div w:id="653724210">
      <w:bodyDiv w:val="1"/>
      <w:marLeft w:val="0"/>
      <w:marRight w:val="0"/>
      <w:marTop w:val="0"/>
      <w:marBottom w:val="0"/>
      <w:divBdr>
        <w:top w:val="none" w:sz="0" w:space="0" w:color="auto"/>
        <w:left w:val="none" w:sz="0" w:space="0" w:color="auto"/>
        <w:bottom w:val="none" w:sz="0" w:space="0" w:color="auto"/>
        <w:right w:val="none" w:sz="0" w:space="0" w:color="auto"/>
      </w:divBdr>
    </w:div>
    <w:div w:id="957297137">
      <w:bodyDiv w:val="1"/>
      <w:marLeft w:val="0"/>
      <w:marRight w:val="0"/>
      <w:marTop w:val="0"/>
      <w:marBottom w:val="0"/>
      <w:divBdr>
        <w:top w:val="none" w:sz="0" w:space="0" w:color="auto"/>
        <w:left w:val="none" w:sz="0" w:space="0" w:color="auto"/>
        <w:bottom w:val="none" w:sz="0" w:space="0" w:color="auto"/>
        <w:right w:val="none" w:sz="0" w:space="0" w:color="auto"/>
      </w:divBdr>
      <w:divsChild>
        <w:div w:id="28841153">
          <w:marLeft w:val="1080"/>
          <w:marRight w:val="0"/>
          <w:marTop w:val="100"/>
          <w:marBottom w:val="0"/>
          <w:divBdr>
            <w:top w:val="none" w:sz="0" w:space="0" w:color="auto"/>
            <w:left w:val="none" w:sz="0" w:space="0" w:color="auto"/>
            <w:bottom w:val="none" w:sz="0" w:space="0" w:color="auto"/>
            <w:right w:val="none" w:sz="0" w:space="0" w:color="auto"/>
          </w:divBdr>
        </w:div>
        <w:div w:id="864829909">
          <w:marLeft w:val="1080"/>
          <w:marRight w:val="0"/>
          <w:marTop w:val="100"/>
          <w:marBottom w:val="0"/>
          <w:divBdr>
            <w:top w:val="none" w:sz="0" w:space="0" w:color="auto"/>
            <w:left w:val="none" w:sz="0" w:space="0" w:color="auto"/>
            <w:bottom w:val="none" w:sz="0" w:space="0" w:color="auto"/>
            <w:right w:val="none" w:sz="0" w:space="0" w:color="auto"/>
          </w:divBdr>
        </w:div>
        <w:div w:id="2073504722">
          <w:marLeft w:val="1080"/>
          <w:marRight w:val="0"/>
          <w:marTop w:val="100"/>
          <w:marBottom w:val="0"/>
          <w:divBdr>
            <w:top w:val="none" w:sz="0" w:space="0" w:color="auto"/>
            <w:left w:val="none" w:sz="0" w:space="0" w:color="auto"/>
            <w:bottom w:val="none" w:sz="0" w:space="0" w:color="auto"/>
            <w:right w:val="none" w:sz="0" w:space="0" w:color="auto"/>
          </w:divBdr>
        </w:div>
        <w:div w:id="1932422720">
          <w:marLeft w:val="1080"/>
          <w:marRight w:val="0"/>
          <w:marTop w:val="100"/>
          <w:marBottom w:val="0"/>
          <w:divBdr>
            <w:top w:val="none" w:sz="0" w:space="0" w:color="auto"/>
            <w:left w:val="none" w:sz="0" w:space="0" w:color="auto"/>
            <w:bottom w:val="none" w:sz="0" w:space="0" w:color="auto"/>
            <w:right w:val="none" w:sz="0" w:space="0" w:color="auto"/>
          </w:divBdr>
        </w:div>
      </w:divsChild>
    </w:div>
    <w:div w:id="1082526866">
      <w:bodyDiv w:val="1"/>
      <w:marLeft w:val="0"/>
      <w:marRight w:val="0"/>
      <w:marTop w:val="0"/>
      <w:marBottom w:val="0"/>
      <w:divBdr>
        <w:top w:val="none" w:sz="0" w:space="0" w:color="auto"/>
        <w:left w:val="none" w:sz="0" w:space="0" w:color="auto"/>
        <w:bottom w:val="none" w:sz="0" w:space="0" w:color="auto"/>
        <w:right w:val="none" w:sz="0" w:space="0" w:color="auto"/>
      </w:divBdr>
      <w:divsChild>
        <w:div w:id="2128499439">
          <w:marLeft w:val="360"/>
          <w:marRight w:val="0"/>
          <w:marTop w:val="200"/>
          <w:marBottom w:val="0"/>
          <w:divBdr>
            <w:top w:val="none" w:sz="0" w:space="0" w:color="auto"/>
            <w:left w:val="none" w:sz="0" w:space="0" w:color="auto"/>
            <w:bottom w:val="none" w:sz="0" w:space="0" w:color="auto"/>
            <w:right w:val="none" w:sz="0" w:space="0" w:color="auto"/>
          </w:divBdr>
        </w:div>
        <w:div w:id="649284571">
          <w:marLeft w:val="1080"/>
          <w:marRight w:val="0"/>
          <w:marTop w:val="100"/>
          <w:marBottom w:val="0"/>
          <w:divBdr>
            <w:top w:val="none" w:sz="0" w:space="0" w:color="auto"/>
            <w:left w:val="none" w:sz="0" w:space="0" w:color="auto"/>
            <w:bottom w:val="none" w:sz="0" w:space="0" w:color="auto"/>
            <w:right w:val="none" w:sz="0" w:space="0" w:color="auto"/>
          </w:divBdr>
        </w:div>
      </w:divsChild>
    </w:div>
    <w:div w:id="1101796917">
      <w:bodyDiv w:val="1"/>
      <w:marLeft w:val="0"/>
      <w:marRight w:val="0"/>
      <w:marTop w:val="0"/>
      <w:marBottom w:val="0"/>
      <w:divBdr>
        <w:top w:val="none" w:sz="0" w:space="0" w:color="auto"/>
        <w:left w:val="none" w:sz="0" w:space="0" w:color="auto"/>
        <w:bottom w:val="none" w:sz="0" w:space="0" w:color="auto"/>
        <w:right w:val="none" w:sz="0" w:space="0" w:color="auto"/>
      </w:divBdr>
      <w:divsChild>
        <w:div w:id="661592468">
          <w:marLeft w:val="360"/>
          <w:marRight w:val="0"/>
          <w:marTop w:val="200"/>
          <w:marBottom w:val="0"/>
          <w:divBdr>
            <w:top w:val="none" w:sz="0" w:space="0" w:color="auto"/>
            <w:left w:val="none" w:sz="0" w:space="0" w:color="auto"/>
            <w:bottom w:val="none" w:sz="0" w:space="0" w:color="auto"/>
            <w:right w:val="none" w:sz="0" w:space="0" w:color="auto"/>
          </w:divBdr>
        </w:div>
      </w:divsChild>
    </w:div>
    <w:div w:id="1794206681">
      <w:bodyDiv w:val="1"/>
      <w:marLeft w:val="0"/>
      <w:marRight w:val="0"/>
      <w:marTop w:val="0"/>
      <w:marBottom w:val="0"/>
      <w:divBdr>
        <w:top w:val="none" w:sz="0" w:space="0" w:color="auto"/>
        <w:left w:val="none" w:sz="0" w:space="0" w:color="auto"/>
        <w:bottom w:val="none" w:sz="0" w:space="0" w:color="auto"/>
        <w:right w:val="none" w:sz="0" w:space="0" w:color="auto"/>
      </w:divBdr>
      <w:divsChild>
        <w:div w:id="98331869">
          <w:marLeft w:val="1080"/>
          <w:marRight w:val="0"/>
          <w:marTop w:val="100"/>
          <w:marBottom w:val="0"/>
          <w:divBdr>
            <w:top w:val="none" w:sz="0" w:space="0" w:color="auto"/>
            <w:left w:val="none" w:sz="0" w:space="0" w:color="auto"/>
            <w:bottom w:val="none" w:sz="0" w:space="0" w:color="auto"/>
            <w:right w:val="none" w:sz="0" w:space="0" w:color="auto"/>
          </w:divBdr>
        </w:div>
        <w:div w:id="943421030">
          <w:marLeft w:val="1080"/>
          <w:marRight w:val="0"/>
          <w:marTop w:val="100"/>
          <w:marBottom w:val="0"/>
          <w:divBdr>
            <w:top w:val="none" w:sz="0" w:space="0" w:color="auto"/>
            <w:left w:val="none" w:sz="0" w:space="0" w:color="auto"/>
            <w:bottom w:val="none" w:sz="0" w:space="0" w:color="auto"/>
            <w:right w:val="none" w:sz="0" w:space="0" w:color="auto"/>
          </w:divBdr>
        </w:div>
        <w:div w:id="1836917084">
          <w:marLeft w:val="1080"/>
          <w:marRight w:val="0"/>
          <w:marTop w:val="100"/>
          <w:marBottom w:val="0"/>
          <w:divBdr>
            <w:top w:val="none" w:sz="0" w:space="0" w:color="auto"/>
            <w:left w:val="none" w:sz="0" w:space="0" w:color="auto"/>
            <w:bottom w:val="none" w:sz="0" w:space="0" w:color="auto"/>
            <w:right w:val="none" w:sz="0" w:space="0" w:color="auto"/>
          </w:divBdr>
        </w:div>
        <w:div w:id="1006521822">
          <w:marLeft w:val="1080"/>
          <w:marRight w:val="0"/>
          <w:marTop w:val="100"/>
          <w:marBottom w:val="0"/>
          <w:divBdr>
            <w:top w:val="none" w:sz="0" w:space="0" w:color="auto"/>
            <w:left w:val="none" w:sz="0" w:space="0" w:color="auto"/>
            <w:bottom w:val="none" w:sz="0" w:space="0" w:color="auto"/>
            <w:right w:val="none" w:sz="0" w:space="0" w:color="auto"/>
          </w:divBdr>
        </w:div>
      </w:divsChild>
    </w:div>
    <w:div w:id="1982340675">
      <w:bodyDiv w:val="1"/>
      <w:marLeft w:val="0"/>
      <w:marRight w:val="0"/>
      <w:marTop w:val="0"/>
      <w:marBottom w:val="0"/>
      <w:divBdr>
        <w:top w:val="none" w:sz="0" w:space="0" w:color="auto"/>
        <w:left w:val="none" w:sz="0" w:space="0" w:color="auto"/>
        <w:bottom w:val="none" w:sz="0" w:space="0" w:color="auto"/>
        <w:right w:val="none" w:sz="0" w:space="0" w:color="auto"/>
      </w:divBdr>
      <w:divsChild>
        <w:div w:id="869689413">
          <w:marLeft w:val="446"/>
          <w:marRight w:val="0"/>
          <w:marTop w:val="0"/>
          <w:marBottom w:val="0"/>
          <w:divBdr>
            <w:top w:val="none" w:sz="0" w:space="0" w:color="auto"/>
            <w:left w:val="none" w:sz="0" w:space="0" w:color="auto"/>
            <w:bottom w:val="none" w:sz="0" w:space="0" w:color="auto"/>
            <w:right w:val="none" w:sz="0" w:space="0" w:color="auto"/>
          </w:divBdr>
        </w:div>
        <w:div w:id="216860337">
          <w:marLeft w:val="446"/>
          <w:marRight w:val="0"/>
          <w:marTop w:val="0"/>
          <w:marBottom w:val="0"/>
          <w:divBdr>
            <w:top w:val="none" w:sz="0" w:space="0" w:color="auto"/>
            <w:left w:val="none" w:sz="0" w:space="0" w:color="auto"/>
            <w:bottom w:val="none" w:sz="0" w:space="0" w:color="auto"/>
            <w:right w:val="none" w:sz="0" w:space="0" w:color="auto"/>
          </w:divBdr>
        </w:div>
        <w:div w:id="363480124">
          <w:marLeft w:val="446"/>
          <w:marRight w:val="0"/>
          <w:marTop w:val="0"/>
          <w:marBottom w:val="0"/>
          <w:divBdr>
            <w:top w:val="none" w:sz="0" w:space="0" w:color="auto"/>
            <w:left w:val="none" w:sz="0" w:space="0" w:color="auto"/>
            <w:bottom w:val="none" w:sz="0" w:space="0" w:color="auto"/>
            <w:right w:val="none" w:sz="0" w:space="0" w:color="auto"/>
          </w:divBdr>
        </w:div>
        <w:div w:id="903494545">
          <w:marLeft w:val="446"/>
          <w:marRight w:val="0"/>
          <w:marTop w:val="0"/>
          <w:marBottom w:val="0"/>
          <w:divBdr>
            <w:top w:val="none" w:sz="0" w:space="0" w:color="auto"/>
            <w:left w:val="none" w:sz="0" w:space="0" w:color="auto"/>
            <w:bottom w:val="none" w:sz="0" w:space="0" w:color="auto"/>
            <w:right w:val="none" w:sz="0" w:space="0" w:color="auto"/>
          </w:divBdr>
        </w:div>
        <w:div w:id="1728381991">
          <w:marLeft w:val="446"/>
          <w:marRight w:val="0"/>
          <w:marTop w:val="0"/>
          <w:marBottom w:val="0"/>
          <w:divBdr>
            <w:top w:val="none" w:sz="0" w:space="0" w:color="auto"/>
            <w:left w:val="none" w:sz="0" w:space="0" w:color="auto"/>
            <w:bottom w:val="none" w:sz="0" w:space="0" w:color="auto"/>
            <w:right w:val="none" w:sz="0" w:space="0" w:color="auto"/>
          </w:divBdr>
        </w:div>
        <w:div w:id="1943033463">
          <w:marLeft w:val="446"/>
          <w:marRight w:val="0"/>
          <w:marTop w:val="0"/>
          <w:marBottom w:val="0"/>
          <w:divBdr>
            <w:top w:val="none" w:sz="0" w:space="0" w:color="auto"/>
            <w:left w:val="none" w:sz="0" w:space="0" w:color="auto"/>
            <w:bottom w:val="none" w:sz="0" w:space="0" w:color="auto"/>
            <w:right w:val="none" w:sz="0" w:space="0" w:color="auto"/>
          </w:divBdr>
        </w:div>
        <w:div w:id="1908219697">
          <w:marLeft w:val="446"/>
          <w:marRight w:val="0"/>
          <w:marTop w:val="0"/>
          <w:marBottom w:val="0"/>
          <w:divBdr>
            <w:top w:val="none" w:sz="0" w:space="0" w:color="auto"/>
            <w:left w:val="none" w:sz="0" w:space="0" w:color="auto"/>
            <w:bottom w:val="none" w:sz="0" w:space="0" w:color="auto"/>
            <w:right w:val="none" w:sz="0" w:space="0" w:color="auto"/>
          </w:divBdr>
        </w:div>
        <w:div w:id="1643190708">
          <w:marLeft w:val="446"/>
          <w:marRight w:val="0"/>
          <w:marTop w:val="0"/>
          <w:marBottom w:val="0"/>
          <w:divBdr>
            <w:top w:val="none" w:sz="0" w:space="0" w:color="auto"/>
            <w:left w:val="none" w:sz="0" w:space="0" w:color="auto"/>
            <w:bottom w:val="none" w:sz="0" w:space="0" w:color="auto"/>
            <w:right w:val="none" w:sz="0" w:space="0" w:color="auto"/>
          </w:divBdr>
        </w:div>
        <w:div w:id="1887796988">
          <w:marLeft w:val="446"/>
          <w:marRight w:val="0"/>
          <w:marTop w:val="0"/>
          <w:marBottom w:val="0"/>
          <w:divBdr>
            <w:top w:val="none" w:sz="0" w:space="0" w:color="auto"/>
            <w:left w:val="none" w:sz="0" w:space="0" w:color="auto"/>
            <w:bottom w:val="none" w:sz="0" w:space="0" w:color="auto"/>
            <w:right w:val="none" w:sz="0" w:space="0" w:color="auto"/>
          </w:divBdr>
        </w:div>
        <w:div w:id="883491268">
          <w:marLeft w:val="446"/>
          <w:marRight w:val="0"/>
          <w:marTop w:val="0"/>
          <w:marBottom w:val="0"/>
          <w:divBdr>
            <w:top w:val="none" w:sz="0" w:space="0" w:color="auto"/>
            <w:left w:val="none" w:sz="0" w:space="0" w:color="auto"/>
            <w:bottom w:val="none" w:sz="0" w:space="0" w:color="auto"/>
            <w:right w:val="none" w:sz="0" w:space="0" w:color="auto"/>
          </w:divBdr>
        </w:div>
        <w:div w:id="69156026">
          <w:marLeft w:val="446"/>
          <w:marRight w:val="0"/>
          <w:marTop w:val="0"/>
          <w:marBottom w:val="0"/>
          <w:divBdr>
            <w:top w:val="none" w:sz="0" w:space="0" w:color="auto"/>
            <w:left w:val="none" w:sz="0" w:space="0" w:color="auto"/>
            <w:bottom w:val="none" w:sz="0" w:space="0" w:color="auto"/>
            <w:right w:val="none" w:sz="0" w:space="0" w:color="auto"/>
          </w:divBdr>
        </w:div>
        <w:div w:id="15468844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thepaymentsassociation.org/whitepaper/sustainability-superheroes-a-how-to-guide-to-esg-for-fintechs/"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92E571DCC9084C8123F5019936AB81" ma:contentTypeVersion="16" ma:contentTypeDescription="Create a new document." ma:contentTypeScope="" ma:versionID="e317faa4ea702c312d6512358f09be98">
  <xsd:schema xmlns:xsd="http://www.w3.org/2001/XMLSchema" xmlns:xs="http://www.w3.org/2001/XMLSchema" xmlns:p="http://schemas.microsoft.com/office/2006/metadata/properties" xmlns:ns2="bdd533a1-2b0e-4b27-b637-d1507f0cc980" xmlns:ns3="4a2d27f5-a3f4-482a-b4d0-32ac9c0be5e8" targetNamespace="http://schemas.microsoft.com/office/2006/metadata/properties" ma:root="true" ma:fieldsID="82fcb3231a3bf261cb5f36a44eb772d8" ns2:_="" ns3:_="">
    <xsd:import namespace="bdd533a1-2b0e-4b27-b637-d1507f0cc980"/>
    <xsd:import namespace="4a2d27f5-a3f4-482a-b4d0-32ac9c0be5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533a1-2b0e-4b27-b637-d1507f0cc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ce6a1f-6ec8-4414-8bed-c57ffd7178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2d27f5-a3f4-482a-b4d0-32ac9c0be5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fb088d-0e83-49d1-940a-4c3a8f773006}" ma:internalName="TaxCatchAll" ma:showField="CatchAllData" ma:web="4a2d27f5-a3f4-482a-b4d0-32ac9c0be5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a2d27f5-a3f4-482a-b4d0-32ac9c0be5e8" xsi:nil="true"/>
    <lcf76f155ced4ddcb4097134ff3c332f xmlns="bdd533a1-2b0e-4b27-b637-d1507f0cc98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86748F-3A03-485E-A5E0-865FAFE8B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533a1-2b0e-4b27-b637-d1507f0cc980"/>
    <ds:schemaRef ds:uri="4a2d27f5-a3f4-482a-b4d0-32ac9c0be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F3DE1D-2B5E-4F5A-9371-9C6EE6A6E881}">
  <ds:schemaRefs>
    <ds:schemaRef ds:uri="http://schemas.microsoft.com/office/2006/metadata/properties"/>
    <ds:schemaRef ds:uri="http://schemas.microsoft.com/office/infopath/2007/PartnerControls"/>
    <ds:schemaRef ds:uri="4a2d27f5-a3f4-482a-b4d0-32ac9c0be5e8"/>
    <ds:schemaRef ds:uri="bdd533a1-2b0e-4b27-b637-d1507f0cc980"/>
  </ds:schemaRefs>
</ds:datastoreItem>
</file>

<file path=customXml/itemProps3.xml><?xml version="1.0" encoding="utf-8"?>
<ds:datastoreItem xmlns:ds="http://schemas.openxmlformats.org/officeDocument/2006/customXml" ds:itemID="{CF5890F6-30D1-4477-9E6F-91D4676D34BA}">
  <ds:schemaRefs>
    <ds:schemaRef ds:uri="http://schemas.openxmlformats.org/officeDocument/2006/bibliography"/>
  </ds:schemaRefs>
</ds:datastoreItem>
</file>

<file path=customXml/itemProps4.xml><?xml version="1.0" encoding="utf-8"?>
<ds:datastoreItem xmlns:ds="http://schemas.openxmlformats.org/officeDocument/2006/customXml" ds:itemID="{5FF99D21-7759-4E7B-A397-DF27075A450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Tony Craddock</dc:creator>
  <keywords/>
  <dc:description/>
  <lastModifiedBy>Tom Brewin</lastModifiedBy>
  <revision>39</revision>
  <lastPrinted>2022-12-01T10:23:00.0000000Z</lastPrinted>
  <dcterms:created xsi:type="dcterms:W3CDTF">2022-12-01T10:17:00.0000000Z</dcterms:created>
  <dcterms:modified xsi:type="dcterms:W3CDTF">2023-01-11T11:03:24.5845152Z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0x0101003492E571DCC9084C8123F5019936AB81</vt:lpwstr>
  </property>
  <property fmtid="{D5CDD505-2E9C-101B-9397-08002B2CF9AE}" pid="3" name="MediaServiceImageTags">
    <vt:lpwstr/>
  </property>
</Properties>
</file>